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B5" w:rsidRDefault="00395BEA" w:rsidP="00536BB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ผลสัมฤทธิ์ทางการเรียนที่</w:t>
      </w:r>
      <w:r w:rsidR="004964D8" w:rsidRPr="005156BC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เรียนรู้ตามรูปแบบซิปปา วิชาภาษาไทย เรื่องโคลงโลกนิติ</w:t>
      </w:r>
    </w:p>
    <w:p w:rsidR="004964D8" w:rsidRPr="005156BC" w:rsidRDefault="004964D8" w:rsidP="00536BB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ของนักเรียนชั้นมัธยมศึกษาปีที่ </w:t>
      </w:r>
      <w:r w:rsidR="00111FC5" w:rsidRPr="005156BC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</w:p>
    <w:p w:rsidR="00933225" w:rsidRPr="00933225" w:rsidRDefault="00933225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</w:pPr>
    </w:p>
    <w:p w:rsidR="007C406D" w:rsidRPr="005156BC" w:rsidRDefault="007C406D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5156B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ญาณกวี ชินวงษ์</w:t>
      </w:r>
      <w:r w:rsidR="00111FC5" w:rsidRPr="005156B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</w:p>
    <w:p w:rsidR="00912B80" w:rsidRDefault="00DF6A35" w:rsidP="00DF6A3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eastAsiaTheme="minorEastAsia" w:hAnsi="TH SarabunPSK" w:cs="TH SarabunPSK"/>
          <w:sz w:val="32"/>
          <w:szCs w:val="32"/>
          <w:lang w:val="en-GB"/>
        </w:rPr>
      </w:pPr>
      <w:r w:rsidRPr="00DF6A35">
        <w:rPr>
          <w:rFonts w:ascii="TH SarabunPSK" w:eastAsiaTheme="minorEastAsia" w:hAnsi="TH SarabunPSK" w:cs="TH SarabunPSK"/>
          <w:sz w:val="32"/>
          <w:szCs w:val="32"/>
          <w:vertAlign w:val="superscript"/>
          <w:lang w:val="en-GB"/>
        </w:rPr>
        <w:t>1</w:t>
      </w:r>
      <w:r w:rsidRPr="00DF6A35">
        <w:rPr>
          <w:rFonts w:ascii="TH SarabunPSK" w:eastAsiaTheme="minorEastAsia" w:hAnsi="TH SarabunPSK" w:cs="TH SarabunPSK" w:hint="cs"/>
          <w:sz w:val="32"/>
          <w:szCs w:val="32"/>
          <w:cs/>
          <w:lang w:val="en-GB"/>
        </w:rPr>
        <w:t xml:space="preserve">หลักสูตรครุศาสตรมหาบัณฑิต สาขาการออกแบบการเรียนการสอน บัณฑิตวิทยาลัย </w:t>
      </w:r>
    </w:p>
    <w:p w:rsidR="004964D8" w:rsidRPr="00986643" w:rsidRDefault="00DF6A35" w:rsidP="00DF6A3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val="en-GB"/>
        </w:rPr>
      </w:pPr>
      <w:r w:rsidRPr="00DF6A35">
        <w:rPr>
          <w:rFonts w:ascii="TH SarabunPSK" w:eastAsiaTheme="minorEastAsia" w:hAnsi="TH SarabunPSK" w:cs="TH SarabunPSK" w:hint="cs"/>
          <w:sz w:val="32"/>
          <w:szCs w:val="32"/>
          <w:cs/>
          <w:lang w:val="en-GB"/>
        </w:rPr>
        <w:t>มห</w:t>
      </w:r>
      <w:r w:rsidRPr="00986643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val="en-GB"/>
        </w:rPr>
        <w:t>าวิทยาลัยราชภัฏสวนสุนันทา</w:t>
      </w:r>
    </w:p>
    <w:p w:rsidR="00DF6A35" w:rsidRPr="00986643" w:rsidRDefault="00DF6A35" w:rsidP="00DF6A3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</w:pPr>
      <w:r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>e</w:t>
      </w:r>
      <w:r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t>-</w:t>
      </w:r>
      <w:r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>mail</w:t>
      </w:r>
      <w:r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t xml:space="preserve">: </w: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fldChar w:fldCharType="begin"/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instrText xml:space="preserve"> HYPERLINK 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instrText>"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instrText>mailto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instrText>: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instrText>yanakawichinnawong@gmail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instrText>.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instrText>com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  <w:cs/>
        </w:rPr>
        <w:instrText xml:space="preserve">" </w:instrTex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fldChar w:fldCharType="separate"/>
      </w:r>
      <w:r w:rsidR="00986643" w:rsidRPr="00986643">
        <w:rPr>
          <w:rStyle w:val="Hyperlink"/>
          <w:rFonts w:ascii="TH SarabunPSK" w:eastAsiaTheme="minorEastAsia" w:hAnsi="TH SarabunPSK" w:cs="TH SarabunPSK"/>
          <w:color w:val="000000" w:themeColor="text1"/>
          <w:sz w:val="24"/>
          <w:szCs w:val="24"/>
          <w:u w:val="none"/>
        </w:rPr>
        <w:t>yanakawichinnawong@gmail</w:t>
      </w:r>
      <w:r w:rsidR="00986643" w:rsidRPr="00986643">
        <w:rPr>
          <w:rStyle w:val="Hyperlink"/>
          <w:rFonts w:ascii="TH SarabunPSK" w:eastAsiaTheme="minorEastAsia" w:hAnsi="TH SarabunPSK" w:cs="TH SarabunPSK"/>
          <w:color w:val="000000" w:themeColor="text1"/>
          <w:sz w:val="24"/>
          <w:szCs w:val="24"/>
          <w:u w:val="none"/>
          <w:cs/>
        </w:rPr>
        <w:t>.</w:t>
      </w:r>
      <w:r w:rsidR="00986643" w:rsidRPr="00986643">
        <w:rPr>
          <w:rStyle w:val="Hyperlink"/>
          <w:rFonts w:ascii="TH SarabunPSK" w:eastAsiaTheme="minorEastAsia" w:hAnsi="TH SarabunPSK" w:cs="TH SarabunPSK"/>
          <w:color w:val="000000" w:themeColor="text1"/>
          <w:sz w:val="24"/>
          <w:szCs w:val="24"/>
          <w:u w:val="none"/>
        </w:rPr>
        <w:t>com</w:t>
      </w:r>
      <w:r w:rsidR="00986643" w:rsidRPr="00986643"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fldChar w:fldCharType="end"/>
      </w:r>
    </w:p>
    <w:p w:rsidR="00986643" w:rsidRPr="00B46289" w:rsidRDefault="00986643" w:rsidP="00DF6A3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4964D8" w:rsidRPr="00B46289" w:rsidRDefault="004964D8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4628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บทคัดย่อ</w:t>
      </w:r>
    </w:p>
    <w:p w:rsidR="00E27247" w:rsidRPr="00D93561" w:rsidRDefault="004964D8" w:rsidP="009437F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ab/>
        <w:t>การวิจัยเรื่องนี้มีวัตถุประสงค์</w:t>
      </w:r>
      <w:r w:rsidR="00395BEA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เพื่อเปรียบเทียบผลสัมฤทธิ์ทางการเรียนวิชาภาษาไทย เรื่องโคลงโลกนิติ ชั้นมัธยมศึกษาปีที่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>1</w:t>
      </w:r>
      <w:r w:rsidR="00395BEA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ก่อนและหลังเรียนด้วยกิจกรรมการเรียนรู้ตามรูปแบบซิปปา กลุ่มตัวอย่างคื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อ นักเรียนชั้นมัธยมศึกษาปีที่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="00395BEA" w:rsidRPr="00150275">
        <w:rPr>
          <w:rFonts w:ascii="TH SarabunPSK" w:hAnsi="TH SarabunPSK" w:cs="TH SarabunPSK"/>
          <w:color w:val="000000" w:themeColor="text1"/>
          <w:sz w:val="28"/>
          <w:cs/>
        </w:rPr>
        <w:t>ภาคเรี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ยนที่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>2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ปีการศึกษา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>2560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>30</w:t>
      </w:r>
      <w:r w:rsidR="00395BEA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คน ได้มาจากวิธีการสุ่มแบบกลุ่ม (</w:t>
      </w:r>
      <w:r w:rsidR="00395BEA" w:rsidRPr="00150275">
        <w:rPr>
          <w:rFonts w:ascii="TH SarabunPSK" w:hAnsi="TH SarabunPSK" w:cs="TH SarabunPSK"/>
          <w:color w:val="000000" w:themeColor="text1"/>
          <w:sz w:val="28"/>
        </w:rPr>
        <w:t>Cluster Random Sampling</w:t>
      </w:r>
      <w:r w:rsidR="00FA1400" w:rsidRPr="00150275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เครื่อง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มือที่ใช้ในการวิจัย ประกอบด้วย 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>กิจกรรมการเรียนรู้ตามรูปแบบซิปปา เรื่อง โคลงโลกนิติ</w:t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37F5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7B1E8D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แผนการจัดการเรียนรู้ เรื่องโคลงโลกนิติ เครื่องมือที่ใช้ในการเก็บข้อมูล </w:t>
      </w:r>
      <w:r w:rsidR="00111FC5" w:rsidRPr="00150275">
        <w:rPr>
          <w:rFonts w:ascii="TH SarabunPSK" w:hAnsi="TH SarabunPSK" w:cs="TH SarabunPSK"/>
          <w:color w:val="000000" w:themeColor="text1"/>
          <w:sz w:val="28"/>
        </w:rPr>
        <w:t>3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แบบทดสอบวัดผลสัมฤทธิ์ทางการเรียน เรื่องโคลงโลกนิติ </w:t>
      </w:r>
      <w:r w:rsidR="009437F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9356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สถิติที่ใช้ในการเปรียบเทียบผลสัมฤทธิ์ทางการเรียน ก่อนและหลังเรียนด้วยกิจกรรมการเรียนรู้ตามรูปแบบซิปปา วิชาภาษาไทย เรื่องโคลงโลกนิติ ของนักเรียนชั้นมัธยมศึกษาปีที่ 1 โดยการทดสอบค่า </w:t>
      </w:r>
      <w:r w:rsidR="00D93561">
        <w:rPr>
          <w:rFonts w:ascii="TH SarabunPSK" w:hAnsi="TH SarabunPSK" w:cs="TH SarabunPSK"/>
          <w:color w:val="000000" w:themeColor="text1"/>
          <w:sz w:val="28"/>
        </w:rPr>
        <w:br/>
        <w:t xml:space="preserve">t-test </w:t>
      </w:r>
      <w:r w:rsidR="00D9356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 </w:t>
      </w:r>
      <w:r w:rsidR="00D93561">
        <w:rPr>
          <w:rFonts w:ascii="TH SarabunPSK" w:hAnsi="TH SarabunPSK" w:cs="TH SarabunPSK"/>
          <w:color w:val="000000" w:themeColor="text1"/>
          <w:sz w:val="28"/>
        </w:rPr>
        <w:t>Dependent</w:t>
      </w:r>
    </w:p>
    <w:p w:rsidR="00C96582" w:rsidRDefault="009437F5" w:rsidP="009437F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111FC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ผลการวิจัยพบว่า 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ผลการเปรียบเทียบผลสัมฤทธิ์ทางการเรียน เรื่องโคลงโลกนิติ 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ของนักเรียนชั้นมัธยมศึกษาปีที่ 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1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พบว่าหลังเรียนสูงกว่าก่อนเรียนอย่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>างมีนัยสำคัญทางสถิติที่ระดับ .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01</w:t>
      </w:r>
      <w:r w:rsidR="00AF4AC9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66C82" w:rsidRPr="00150275">
        <w:rPr>
          <w:rFonts w:ascii="TH SarabunPSK" w:hAnsi="TH SarabunPSK" w:cs="TH SarabunPSK"/>
          <w:color w:val="000000" w:themeColor="text1"/>
          <w:sz w:val="28"/>
          <w:cs/>
        </w:rPr>
        <w:t>โดยคะแนนเ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ฉลี่ยก่อนเรียนมีค่าเท่ากับ 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23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03</w:t>
      </w:r>
      <w:r w:rsidR="00866C8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ส่วนเบี่ยงเบนมาตรฐานเท่ากับ 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1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77</w:t>
      </w:r>
      <w:r w:rsidR="00866C8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ส่วนคะแนนเฉลี่ยผลสัมฤทธิ์ทางการ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เรียนหลังเรียนมีค่าเท่ากับ 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25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33</w:t>
      </w:r>
      <w:r w:rsidR="00866C8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ส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่วนเบี่ยงเบนมาตรฐาน เท่ากับ 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1</w:t>
      </w:r>
      <w:r w:rsidR="00B524A5" w:rsidRPr="0015027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524A5" w:rsidRPr="00150275">
        <w:rPr>
          <w:rFonts w:ascii="TH SarabunPSK" w:hAnsi="TH SarabunPSK" w:cs="TH SarabunPSK"/>
          <w:color w:val="000000" w:themeColor="text1"/>
          <w:sz w:val="28"/>
        </w:rPr>
        <w:t>47</w:t>
      </w:r>
      <w:r w:rsidR="00854FE4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C96582" w:rsidRDefault="00C96582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C96582" w:rsidRPr="00E81184" w:rsidRDefault="00C96582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คำสำคัญ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: ผลสัมฤทธิ์ทางการเรียน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การเรียนรู้ตามรูปแบบซิปปา</w:t>
      </w:r>
      <w:r w:rsidR="00E81184">
        <w:rPr>
          <w:rFonts w:ascii="TH SarabunPSK" w:hAnsi="TH SarabunPSK" w:cs="TH SarabunPSK"/>
          <w:color w:val="000000" w:themeColor="text1"/>
          <w:sz w:val="28"/>
        </w:rPr>
        <w:t>,</w:t>
      </w:r>
      <w:r w:rsidR="00F82A5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เรื่องโคลงโลกนิติ</w:t>
      </w:r>
    </w:p>
    <w:p w:rsidR="00DC48C4" w:rsidRPr="00150275" w:rsidRDefault="00E81184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sz w:val="28"/>
          <w:cs/>
        </w:rPr>
        <w:sectPr w:rsidR="00DC48C4" w:rsidRPr="00150275" w:rsidSect="004964D8">
          <w:headerReference w:type="default" r:id="rId8"/>
          <w:pgSz w:w="11906" w:h="16838" w:code="9"/>
          <w:pgMar w:top="2160" w:right="1440" w:bottom="1440" w:left="2160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28"/>
          <w:cs/>
        </w:rPr>
        <w:t xml:space="preserve"> </w:t>
      </w:r>
    </w:p>
    <w:p w:rsidR="00B46289" w:rsidRDefault="00B46289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</w:pPr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lastRenderedPageBreak/>
        <w:t xml:space="preserve">learning </w:t>
      </w:r>
      <w:proofErr w:type="spellStart"/>
      <w:r w:rsidRPr="005156BC">
        <w:rPr>
          <w:rFonts w:ascii="TH SarabunPSK" w:hAnsi="TH SarabunPSK" w:cs="TH SarabunPSK"/>
          <w:color w:val="000000" w:themeColor="text1"/>
          <w:sz w:val="36"/>
          <w:szCs w:val="36"/>
        </w:rPr>
        <w:t>Achiievement</w:t>
      </w:r>
      <w:proofErr w:type="spellEnd"/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C96582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>activity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 xml:space="preserve"> by using CIPPA Model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  <w:lang w:val="en-GB"/>
        </w:rPr>
        <w:t xml:space="preserve"> 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 xml:space="preserve">for Thai subject on the topic of </w:t>
      </w:r>
      <w:proofErr w:type="spellStart"/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>Klonglokkanit</w:t>
      </w:r>
      <w:proofErr w:type="spellEnd"/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 xml:space="preserve"> 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  <w:lang w:val="en-GB"/>
        </w:rPr>
        <w:t>(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>Thai Literature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cs/>
          <w:lang w:val="en-GB"/>
        </w:rPr>
        <w:t xml:space="preserve">) </w:t>
      </w:r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 xml:space="preserve">of </w:t>
      </w:r>
      <w:proofErr w:type="spellStart"/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>Mathayomsuksa</w:t>
      </w:r>
      <w:proofErr w:type="spellEnd"/>
      <w:r w:rsidRPr="005156BC"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  <w:t xml:space="preserve"> 1 students</w:t>
      </w:r>
    </w:p>
    <w:p w:rsidR="00B46289" w:rsidRPr="00933225" w:rsidRDefault="00B46289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</w:pPr>
    </w:p>
    <w:p w:rsidR="00B46289" w:rsidRPr="005156BC" w:rsidRDefault="00B46289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Yanakawi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Chinnawong</w:t>
      </w:r>
      <w:proofErr w:type="spellEnd"/>
      <w:r w:rsidRPr="005156B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</w:p>
    <w:p w:rsidR="00B46289" w:rsidRPr="00DF6A35" w:rsidRDefault="00B46289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eastAsiaTheme="minorEastAsia" w:hAnsi="TH SarabunPSK" w:cs="TH SarabunPSK"/>
          <w:sz w:val="32"/>
          <w:szCs w:val="32"/>
          <w:lang w:val="en-GB"/>
        </w:rPr>
      </w:pPr>
      <w:r w:rsidRPr="00DF6A35">
        <w:rPr>
          <w:rFonts w:ascii="TH SarabunPSK" w:eastAsiaTheme="minorEastAsia" w:hAnsi="TH SarabunPSK" w:cs="TH SarabunPSK"/>
          <w:sz w:val="32"/>
          <w:szCs w:val="32"/>
          <w:vertAlign w:val="superscript"/>
          <w:lang w:val="en-GB"/>
        </w:rPr>
        <w:t>1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Master of Education </w:t>
      </w:r>
      <w:proofErr w:type="gramStart"/>
      <w:r>
        <w:rPr>
          <w:rFonts w:ascii="TH SarabunPSK" w:eastAsiaTheme="minorEastAsia" w:hAnsi="TH SarabunPSK" w:cs="TH SarabunPSK"/>
          <w:sz w:val="32"/>
          <w:szCs w:val="32"/>
          <w:lang w:val="en-GB"/>
        </w:rPr>
        <w:t>Instructional ,</w:t>
      </w:r>
      <w:proofErr w:type="gramEnd"/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Graduate School</w:t>
      </w:r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proofErr w:type="spellStart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>Suan</w:t>
      </w:r>
      <w:proofErr w:type="spellEnd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</w:t>
      </w:r>
      <w:proofErr w:type="spellStart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>Sunandha</w:t>
      </w:r>
      <w:proofErr w:type="spellEnd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</w:t>
      </w:r>
      <w:proofErr w:type="spellStart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>Rajabhat</w:t>
      </w:r>
      <w:proofErr w:type="spellEnd"/>
      <w:r w:rsidR="00C40C35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University</w:t>
      </w:r>
    </w:p>
    <w:p w:rsidR="004964D8" w:rsidRPr="00B46289" w:rsidRDefault="00B46289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B46289">
        <w:rPr>
          <w:rFonts w:ascii="TH SarabunPSK" w:eastAsiaTheme="minorEastAsia" w:hAnsi="TH SarabunPSK" w:cs="TH SarabunPSK"/>
          <w:sz w:val="24"/>
          <w:szCs w:val="24"/>
        </w:rPr>
        <w:t>e</w:t>
      </w:r>
      <w:r w:rsidRPr="00B46289">
        <w:rPr>
          <w:rFonts w:ascii="TH SarabunPSK" w:eastAsiaTheme="minorEastAsia" w:hAnsi="TH SarabunPSK" w:cs="TH SarabunPSK"/>
          <w:sz w:val="24"/>
          <w:szCs w:val="24"/>
          <w:cs/>
        </w:rPr>
        <w:t>-</w:t>
      </w:r>
      <w:r w:rsidRPr="00B46289">
        <w:rPr>
          <w:rFonts w:ascii="TH SarabunPSK" w:eastAsiaTheme="minorEastAsia" w:hAnsi="TH SarabunPSK" w:cs="TH SarabunPSK"/>
          <w:sz w:val="24"/>
          <w:szCs w:val="24"/>
        </w:rPr>
        <w:t>mail</w:t>
      </w:r>
      <w:r w:rsidRPr="00B46289">
        <w:rPr>
          <w:rFonts w:ascii="TH SarabunPSK" w:eastAsiaTheme="minorEastAsia" w:hAnsi="TH SarabunPSK" w:cs="TH SarabunPSK"/>
          <w:sz w:val="24"/>
          <w:szCs w:val="24"/>
          <w:cs/>
        </w:rPr>
        <w:t xml:space="preserve">: </w:t>
      </w:r>
      <w:proofErr w:type="spellStart"/>
      <w:r w:rsidRPr="00B46289">
        <w:rPr>
          <w:rFonts w:ascii="TH SarabunPSK" w:eastAsiaTheme="minorEastAsia" w:hAnsi="TH SarabunPSK" w:cs="TH SarabunPSK"/>
          <w:sz w:val="24"/>
          <w:szCs w:val="24"/>
        </w:rPr>
        <w:t>yanakawichinnawong@gmail</w:t>
      </w:r>
      <w:proofErr w:type="spellEnd"/>
      <w:r w:rsidRPr="00B46289">
        <w:rPr>
          <w:rFonts w:ascii="TH SarabunPSK" w:eastAsiaTheme="minorEastAsia" w:hAnsi="TH SarabunPSK" w:cs="TH SarabunPSK"/>
          <w:sz w:val="24"/>
          <w:szCs w:val="24"/>
          <w:cs/>
        </w:rPr>
        <w:t>.</w:t>
      </w:r>
      <w:r w:rsidRPr="00B46289">
        <w:rPr>
          <w:rFonts w:ascii="TH SarabunPSK" w:eastAsiaTheme="minorEastAsia" w:hAnsi="TH SarabunPSK" w:cs="TH SarabunPSK"/>
          <w:sz w:val="24"/>
          <w:szCs w:val="24"/>
        </w:rPr>
        <w:t>com</w:t>
      </w:r>
    </w:p>
    <w:p w:rsidR="00B46289" w:rsidRPr="005156BC" w:rsidRDefault="00B46289" w:rsidP="00933225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854FE4" w:rsidRPr="00150275" w:rsidRDefault="00854FE4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</w:rPr>
        <w:t>Abstract</w:t>
      </w:r>
    </w:p>
    <w:p w:rsidR="001535C1" w:rsidRDefault="00854FE4" w:rsidP="00933225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28"/>
        </w:rPr>
      </w:pPr>
      <w:r w:rsidRPr="00150275">
        <w:rPr>
          <w:rFonts w:ascii="TH SarabunPSK" w:hAnsi="TH SarabunPSK" w:cs="TH SarabunPSK"/>
          <w:sz w:val="28"/>
          <w:cs/>
        </w:rPr>
        <w:tab/>
      </w:r>
      <w:r w:rsidR="00C66C07" w:rsidRPr="00150275">
        <w:rPr>
          <w:rFonts w:ascii="TH SarabunPSK" w:hAnsi="TH SarabunPSK" w:cs="TH SarabunPSK"/>
          <w:sz w:val="28"/>
        </w:rPr>
        <w:t>The purposes of this thesis were</w:t>
      </w:r>
      <w:r w:rsidR="00C66C07" w:rsidRPr="00150275">
        <w:rPr>
          <w:rFonts w:ascii="TH SarabunPSK" w:hAnsi="TH SarabunPSK" w:cs="TH SarabunPSK"/>
          <w:sz w:val="28"/>
          <w:cs/>
        </w:rPr>
        <w:t xml:space="preserve">: </w:t>
      </w:r>
      <w:r w:rsidR="00C66C07" w:rsidRPr="00150275">
        <w:rPr>
          <w:rFonts w:ascii="TH SarabunPSK" w:hAnsi="TH SarabunPSK" w:cs="TH SarabunPSK"/>
          <w:sz w:val="28"/>
        </w:rPr>
        <w:t xml:space="preserve">to compare pre and post learning achievement of Thai subject on the topic of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by using CIPPA model</w:t>
      </w:r>
      <w:r w:rsidR="00C66C07" w:rsidRPr="00150275">
        <w:rPr>
          <w:rFonts w:ascii="TH SarabunPSK" w:hAnsi="TH SarabunPSK" w:cs="TH SarabunPSK"/>
          <w:sz w:val="28"/>
          <w:cs/>
        </w:rPr>
        <w:t xml:space="preserve">. </w:t>
      </w:r>
      <w:r w:rsidR="00C66C07" w:rsidRPr="00150275">
        <w:rPr>
          <w:rFonts w:ascii="TH SarabunPSK" w:hAnsi="TH SarabunPSK" w:cs="TH SarabunPSK"/>
          <w:sz w:val="28"/>
        </w:rPr>
        <w:t xml:space="preserve">The sample group was 30 students from </w:t>
      </w:r>
      <w:proofErr w:type="spellStart"/>
      <w:r w:rsidR="00C66C07" w:rsidRPr="00150275">
        <w:rPr>
          <w:rFonts w:ascii="TH SarabunPSK" w:hAnsi="TH SarabunPSK" w:cs="TH SarabunPSK"/>
          <w:sz w:val="28"/>
        </w:rPr>
        <w:t>Mathayomsuksa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1 who studied Thai </w:t>
      </w:r>
      <w:proofErr w:type="gramStart"/>
      <w:r w:rsidR="00C66C07" w:rsidRPr="00150275">
        <w:rPr>
          <w:rFonts w:ascii="TH SarabunPSK" w:hAnsi="TH SarabunPSK" w:cs="TH SarabunPSK"/>
          <w:sz w:val="28"/>
        </w:rPr>
        <w:t>subject ,</w:t>
      </w:r>
      <w:proofErr w:type="gramEnd"/>
      <w:r w:rsidR="00C66C07" w:rsidRPr="00150275">
        <w:rPr>
          <w:rFonts w:ascii="TH SarabunPSK" w:hAnsi="TH SarabunPSK" w:cs="TH SarabunPSK"/>
          <w:sz w:val="28"/>
        </w:rPr>
        <w:t xml:space="preserve">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topic, semester 2, academic year 2017</w:t>
      </w:r>
      <w:r w:rsidR="00C66C07" w:rsidRPr="00150275">
        <w:rPr>
          <w:rFonts w:ascii="TH SarabunPSK" w:hAnsi="TH SarabunPSK" w:cs="TH SarabunPSK"/>
          <w:sz w:val="28"/>
          <w:cs/>
        </w:rPr>
        <w:t xml:space="preserve">. </w:t>
      </w:r>
      <w:r w:rsidR="00C66C07" w:rsidRPr="00150275">
        <w:rPr>
          <w:rFonts w:ascii="TH SarabunPSK" w:hAnsi="TH SarabunPSK" w:cs="TH SarabunPSK"/>
          <w:sz w:val="28"/>
        </w:rPr>
        <w:t>The research was obtained from the cluster random sampling method using probability sampling and the classroom as random units</w:t>
      </w:r>
      <w:r w:rsidR="00C66C07" w:rsidRPr="00150275">
        <w:rPr>
          <w:rFonts w:ascii="TH SarabunPSK" w:hAnsi="TH SarabunPSK" w:cs="TH SarabunPSK"/>
          <w:sz w:val="28"/>
          <w:cs/>
        </w:rPr>
        <w:t xml:space="preserve">. </w:t>
      </w:r>
      <w:r w:rsidR="00C66C07" w:rsidRPr="00150275">
        <w:rPr>
          <w:rFonts w:ascii="TH SarabunPSK" w:hAnsi="TH SarabunPSK" w:cs="TH SarabunPSK"/>
          <w:sz w:val="28"/>
        </w:rPr>
        <w:t>The researc</w:t>
      </w:r>
      <w:r w:rsidR="007B1E8D">
        <w:rPr>
          <w:rFonts w:ascii="TH SarabunPSK" w:hAnsi="TH SarabunPSK" w:cs="TH SarabunPSK"/>
          <w:sz w:val="28"/>
        </w:rPr>
        <w:t xml:space="preserve">h instruments were composed </w:t>
      </w:r>
      <w:proofErr w:type="gramStart"/>
      <w:r w:rsidR="007B1E8D">
        <w:rPr>
          <w:rFonts w:ascii="TH SarabunPSK" w:hAnsi="TH SarabunPSK" w:cs="TH SarabunPSK"/>
          <w:sz w:val="28"/>
        </w:rPr>
        <w:t xml:space="preserve">of </w:t>
      </w:r>
      <w:r w:rsidR="00C66C07" w:rsidRPr="00150275">
        <w:rPr>
          <w:rFonts w:ascii="TH SarabunPSK" w:hAnsi="TH SarabunPSK" w:cs="TH SarabunPSK"/>
          <w:sz w:val="28"/>
          <w:cs/>
        </w:rPr>
        <w:t xml:space="preserve"> </w:t>
      </w:r>
      <w:r w:rsidR="00C66C07" w:rsidRPr="00150275">
        <w:rPr>
          <w:rFonts w:ascii="TH SarabunPSK" w:hAnsi="TH SarabunPSK" w:cs="TH SarabunPSK"/>
          <w:sz w:val="28"/>
        </w:rPr>
        <w:t>learning</w:t>
      </w:r>
      <w:proofErr w:type="gramEnd"/>
      <w:r w:rsidR="00C66C07" w:rsidRPr="00150275">
        <w:rPr>
          <w:rFonts w:ascii="TH SarabunPSK" w:hAnsi="TH SarabunPSK" w:cs="TH SarabunPSK"/>
          <w:sz w:val="28"/>
        </w:rPr>
        <w:t xml:space="preserve"> activity by using CIPPA model for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topic</w:t>
      </w:r>
      <w:r w:rsidR="007B1E8D">
        <w:rPr>
          <w:rFonts w:ascii="TH SarabunPSK" w:hAnsi="TH SarabunPSK" w:cs="TH SarabunPSK"/>
          <w:sz w:val="28"/>
        </w:rPr>
        <w:t xml:space="preserve"> and</w:t>
      </w:r>
      <w:r w:rsidR="00C66C07" w:rsidRPr="00150275">
        <w:rPr>
          <w:rFonts w:ascii="TH SarabunPSK" w:hAnsi="TH SarabunPSK" w:cs="TH SarabunPSK"/>
          <w:sz w:val="28"/>
          <w:cs/>
        </w:rPr>
        <w:t xml:space="preserve"> </w:t>
      </w:r>
      <w:r w:rsidR="00C66C07" w:rsidRPr="00150275">
        <w:rPr>
          <w:rFonts w:ascii="TH SarabunPSK" w:hAnsi="TH SarabunPSK" w:cs="TH SarabunPSK"/>
          <w:sz w:val="28"/>
        </w:rPr>
        <w:t xml:space="preserve">learning plan of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topic</w:t>
      </w:r>
      <w:r w:rsidR="00C66C07" w:rsidRPr="00150275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="00D257C7">
        <w:rPr>
          <w:rFonts w:ascii="TH SarabunPSK" w:hAnsi="TH SarabunPSK" w:cs="TH SarabunPSK"/>
          <w:sz w:val="28"/>
        </w:rPr>
        <w:t>The  research</w:t>
      </w:r>
      <w:proofErr w:type="gramEnd"/>
      <w:r w:rsidR="00D257C7">
        <w:rPr>
          <w:rFonts w:ascii="TH SarabunPSK" w:hAnsi="TH SarabunPSK" w:cs="TH SarabunPSK"/>
          <w:sz w:val="28"/>
        </w:rPr>
        <w:t xml:space="preserve"> instruments included  </w:t>
      </w:r>
      <w:r w:rsidR="00C66C07" w:rsidRPr="00150275">
        <w:rPr>
          <w:rFonts w:ascii="TH SarabunPSK" w:hAnsi="TH SarabunPSK" w:cs="TH SarabunPSK"/>
          <w:sz w:val="28"/>
        </w:rPr>
        <w:t xml:space="preserve">tests of learning achievement for Thai subject,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topic</w:t>
      </w:r>
      <w:r w:rsidR="000422FC">
        <w:rPr>
          <w:rFonts w:ascii="TH SarabunPSK" w:hAnsi="TH SarabunPSK" w:cs="TH SarabunPSK"/>
          <w:sz w:val="28"/>
          <w:cs/>
        </w:rPr>
        <w:t xml:space="preserve">. </w:t>
      </w:r>
      <w:r w:rsidR="000422FC">
        <w:rPr>
          <w:rFonts w:ascii="TH SarabunPSK" w:hAnsi="TH SarabunPSK" w:cs="TH SarabunPSK"/>
          <w:sz w:val="28"/>
        </w:rPr>
        <w:t xml:space="preserve">The statistics were; </w:t>
      </w:r>
      <w:r w:rsidR="001C029E" w:rsidRPr="001C029E">
        <w:rPr>
          <w:rFonts w:ascii="TH SarabunPSK" w:hAnsi="TH SarabunPSK" w:cs="TH SarabunPSK"/>
          <w:sz w:val="28"/>
        </w:rPr>
        <w:t xml:space="preserve">to compare pre and post learning achievement of Thai subject on the topic of </w:t>
      </w:r>
      <w:proofErr w:type="spellStart"/>
      <w:r w:rsidR="001C029E" w:rsidRPr="001C029E">
        <w:rPr>
          <w:rFonts w:ascii="TH SarabunPSK" w:hAnsi="TH SarabunPSK" w:cs="TH SarabunPSK"/>
          <w:sz w:val="28"/>
        </w:rPr>
        <w:t>Klo</w:t>
      </w:r>
      <w:r w:rsidR="00F40E88">
        <w:rPr>
          <w:rFonts w:ascii="TH SarabunPSK" w:hAnsi="TH SarabunPSK" w:cs="TH SarabunPSK"/>
          <w:sz w:val="28"/>
        </w:rPr>
        <w:t>nglokkanit</w:t>
      </w:r>
      <w:proofErr w:type="spellEnd"/>
      <w:r w:rsidR="00F40E88">
        <w:rPr>
          <w:rFonts w:ascii="TH SarabunPSK" w:hAnsi="TH SarabunPSK" w:cs="TH SarabunPSK"/>
          <w:sz w:val="28"/>
        </w:rPr>
        <w:t xml:space="preserve"> by using CIPPA model</w:t>
      </w:r>
      <w:r w:rsidR="00F40E88" w:rsidRPr="00F40E88">
        <w:rPr>
          <w:rFonts w:ascii="TH SarabunPSK" w:hAnsi="TH SarabunPSK" w:cs="TH SarabunPSK"/>
          <w:sz w:val="28"/>
        </w:rPr>
        <w:t xml:space="preserve"> </w:t>
      </w:r>
      <w:r w:rsidR="00F40E88" w:rsidRPr="00E27247">
        <w:rPr>
          <w:rFonts w:ascii="TH SarabunPSK" w:hAnsi="TH SarabunPSK" w:cs="TH SarabunPSK"/>
          <w:sz w:val="28"/>
        </w:rPr>
        <w:t xml:space="preserve">from </w:t>
      </w:r>
      <w:proofErr w:type="spellStart"/>
      <w:r w:rsidR="00F40E88" w:rsidRPr="00E27247">
        <w:rPr>
          <w:rFonts w:ascii="TH SarabunPSK" w:hAnsi="TH SarabunPSK" w:cs="TH SarabunPSK"/>
          <w:sz w:val="28"/>
        </w:rPr>
        <w:t>Mathayomsuksa</w:t>
      </w:r>
      <w:proofErr w:type="spellEnd"/>
      <w:r w:rsidR="00F40E88" w:rsidRPr="00E27247">
        <w:rPr>
          <w:rFonts w:ascii="TH SarabunPSK" w:hAnsi="TH SarabunPSK" w:cs="TH SarabunPSK"/>
          <w:sz w:val="28"/>
        </w:rPr>
        <w:t xml:space="preserve"> 1 students</w:t>
      </w:r>
      <w:r w:rsidR="007C70B2">
        <w:rPr>
          <w:rFonts w:ascii="TH SarabunPSK" w:hAnsi="TH SarabunPSK" w:cs="TH SarabunPSK"/>
          <w:sz w:val="28"/>
        </w:rPr>
        <w:t xml:space="preserve">, </w:t>
      </w:r>
      <w:r w:rsidR="007B1E8D">
        <w:rPr>
          <w:rFonts w:ascii="TH SarabunPSK" w:hAnsi="TH SarabunPSK" w:cs="TH SarabunPSK"/>
          <w:sz w:val="28"/>
        </w:rPr>
        <w:t>Percentage, and t-test for dependent.</w:t>
      </w:r>
      <w:r w:rsidR="001535C1">
        <w:rPr>
          <w:rFonts w:ascii="TH SarabunPSK" w:hAnsi="TH SarabunPSK" w:cs="TH SarabunPSK"/>
          <w:sz w:val="28"/>
        </w:rPr>
        <w:t xml:space="preserve"> </w:t>
      </w:r>
    </w:p>
    <w:p w:rsidR="00C66C07" w:rsidRPr="00150275" w:rsidRDefault="001535C1" w:rsidP="00933225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C66C07" w:rsidRPr="00150275">
        <w:rPr>
          <w:rFonts w:ascii="TH SarabunPSK" w:hAnsi="TH SarabunPSK" w:cs="TH SarabunPSK"/>
          <w:sz w:val="28"/>
        </w:rPr>
        <w:t xml:space="preserve">The result of the study were as </w:t>
      </w:r>
      <w:proofErr w:type="gramStart"/>
      <w:r w:rsidR="00C66C07" w:rsidRPr="00150275">
        <w:rPr>
          <w:rFonts w:ascii="TH SarabunPSK" w:hAnsi="TH SarabunPSK" w:cs="TH SarabunPSK"/>
          <w:sz w:val="28"/>
        </w:rPr>
        <w:t>follow</w:t>
      </w:r>
      <w:r>
        <w:rPr>
          <w:rFonts w:ascii="TH SarabunPSK" w:hAnsi="TH SarabunPSK" w:cs="TH SarabunPSK"/>
          <w:sz w:val="28"/>
          <w:cs/>
        </w:rPr>
        <w:t>:</w:t>
      </w:r>
      <w:r w:rsidR="00C66C07" w:rsidRPr="00150275">
        <w:rPr>
          <w:rFonts w:ascii="TH SarabunPSK" w:hAnsi="TH SarabunPSK" w:cs="TH SarabunPSK"/>
          <w:sz w:val="28"/>
        </w:rPr>
        <w:t>the</w:t>
      </w:r>
      <w:proofErr w:type="gramEnd"/>
      <w:r w:rsidR="00C66C07" w:rsidRPr="00150275">
        <w:rPr>
          <w:rFonts w:ascii="TH SarabunPSK" w:hAnsi="TH SarabunPSK" w:cs="TH SarabunPSK"/>
          <w:sz w:val="28"/>
        </w:rPr>
        <w:t xml:space="preserve"> result of comparison of academic achievement on the topic of </w:t>
      </w:r>
      <w:proofErr w:type="spellStart"/>
      <w:r w:rsidR="00C66C07" w:rsidRPr="00150275">
        <w:rPr>
          <w:rFonts w:ascii="TH SarabunPSK" w:hAnsi="TH SarabunPSK" w:cs="TH SarabunPSK"/>
          <w:sz w:val="28"/>
        </w:rPr>
        <w:t>klonglokkanit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from </w:t>
      </w:r>
      <w:proofErr w:type="spellStart"/>
      <w:r w:rsidR="00C66C07" w:rsidRPr="00150275">
        <w:rPr>
          <w:rFonts w:ascii="TH SarabunPSK" w:hAnsi="TH SarabunPSK" w:cs="TH SarabunPSK"/>
          <w:sz w:val="28"/>
        </w:rPr>
        <w:t>Mathayomsuksa</w:t>
      </w:r>
      <w:proofErr w:type="spellEnd"/>
      <w:r w:rsidR="00C66C07" w:rsidRPr="00150275">
        <w:rPr>
          <w:rFonts w:ascii="TH SarabunPSK" w:hAnsi="TH SarabunPSK" w:cs="TH SarabunPSK"/>
          <w:sz w:val="28"/>
        </w:rPr>
        <w:t xml:space="preserve"> 1 students at found that the </w:t>
      </w:r>
      <w:r w:rsidR="00F12942">
        <w:rPr>
          <w:rFonts w:ascii="TH SarabunPSK" w:hAnsi="TH SarabunPSK" w:cs="TH SarabunPSK"/>
          <w:sz w:val="28"/>
        </w:rPr>
        <w:t xml:space="preserve">overall </w:t>
      </w:r>
      <w:r w:rsidR="00C66C07" w:rsidRPr="00150275">
        <w:rPr>
          <w:rFonts w:ascii="TH SarabunPSK" w:hAnsi="TH SarabunPSK" w:cs="TH SarabunPSK"/>
          <w:sz w:val="28"/>
        </w:rPr>
        <w:t xml:space="preserve">score </w:t>
      </w:r>
      <w:r w:rsidR="00F12942">
        <w:rPr>
          <w:rFonts w:ascii="TH SarabunPSK" w:hAnsi="TH SarabunPSK" w:cs="TH SarabunPSK"/>
          <w:sz w:val="28"/>
        </w:rPr>
        <w:t>of before study</w:t>
      </w:r>
      <w:r w:rsidR="00C66C07" w:rsidRPr="00150275">
        <w:rPr>
          <w:rFonts w:ascii="TH SarabunPSK" w:hAnsi="TH SarabunPSK" w:cs="TH SarabunPSK"/>
          <w:sz w:val="28"/>
        </w:rPr>
        <w:t xml:space="preserve"> </w:t>
      </w:r>
      <w:r w:rsidR="00F12942">
        <w:rPr>
          <w:rFonts w:ascii="TH SarabunPSK" w:hAnsi="TH SarabunPSK" w:cs="TH SarabunPSK"/>
          <w:sz w:val="28"/>
        </w:rPr>
        <w:t>was 76.78, the score after studying by using CIPPA Model was 84.44 It meant that learning result after studying was higher t</w:t>
      </w:r>
      <w:r w:rsidR="000B737E">
        <w:rPr>
          <w:rFonts w:ascii="TH SarabunPSK" w:hAnsi="TH SarabunPSK" w:cs="TH SarabunPSK"/>
          <w:sz w:val="28"/>
        </w:rPr>
        <w:t xml:space="preserve">han before study </w:t>
      </w:r>
      <w:r w:rsidR="00E31BA8" w:rsidRPr="00150275">
        <w:rPr>
          <w:rFonts w:ascii="TH SarabunPSK" w:hAnsi="TH SarabunPSK" w:cs="TH SarabunPSK"/>
          <w:sz w:val="28"/>
          <w:cs/>
        </w:rPr>
        <w:t>.</w:t>
      </w:r>
      <w:r w:rsidR="00E31BA8" w:rsidRPr="00150275">
        <w:rPr>
          <w:rFonts w:ascii="TH SarabunPSK" w:hAnsi="TH SarabunPSK" w:cs="TH SarabunPSK"/>
          <w:sz w:val="28"/>
        </w:rPr>
        <w:t>01</w:t>
      </w:r>
      <w:r w:rsidR="00E31BA8" w:rsidRPr="00150275">
        <w:rPr>
          <w:rFonts w:ascii="TH SarabunPSK" w:hAnsi="TH SarabunPSK" w:cs="TH SarabunPSK"/>
          <w:sz w:val="28"/>
          <w:cs/>
        </w:rPr>
        <w:t xml:space="preserve"> </w:t>
      </w:r>
      <w:r w:rsidR="00E31BA8">
        <w:rPr>
          <w:rFonts w:ascii="TH SarabunPSK" w:hAnsi="TH SarabunPSK" w:cs="TH SarabunPSK"/>
          <w:sz w:val="28"/>
        </w:rPr>
        <w:t>with</w:t>
      </w:r>
      <w:r w:rsidR="00C66C07" w:rsidRPr="00150275">
        <w:rPr>
          <w:rFonts w:ascii="TH SarabunPSK" w:hAnsi="TH SarabunPSK" w:cs="TH SarabunPSK"/>
          <w:sz w:val="28"/>
        </w:rPr>
        <w:t xml:space="preserve"> statistical significance </w:t>
      </w:r>
      <w:r w:rsidR="00E31BA8">
        <w:rPr>
          <w:rFonts w:ascii="TH SarabunPSK" w:hAnsi="TH SarabunPSK" w:cs="TH SarabunPSK"/>
          <w:sz w:val="28"/>
        </w:rPr>
        <w:t>level.</w:t>
      </w:r>
    </w:p>
    <w:p w:rsidR="00785529" w:rsidRPr="00150275" w:rsidRDefault="00785529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18"/>
          <w:szCs w:val="18"/>
        </w:rPr>
      </w:pPr>
    </w:p>
    <w:p w:rsidR="00854FE4" w:rsidRPr="00150275" w:rsidRDefault="00854FE4" w:rsidP="00DF6A3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8"/>
        </w:rPr>
      </w:pPr>
      <w:r w:rsidRPr="00150275">
        <w:rPr>
          <w:rFonts w:ascii="TH SarabunPSK" w:hAnsi="TH SarabunPSK" w:cs="TH SarabunPSK"/>
          <w:sz w:val="28"/>
        </w:rPr>
        <w:t>Keywords</w:t>
      </w:r>
      <w:r w:rsidRPr="00150275">
        <w:rPr>
          <w:rFonts w:ascii="TH SarabunPSK" w:hAnsi="TH SarabunPSK" w:cs="TH SarabunPSK"/>
          <w:sz w:val="28"/>
          <w:cs/>
        </w:rPr>
        <w:t xml:space="preserve">: </w:t>
      </w:r>
      <w:r w:rsidRPr="00150275">
        <w:rPr>
          <w:rFonts w:ascii="TH SarabunPSK" w:hAnsi="TH SarabunPSK" w:cs="TH SarabunPSK"/>
          <w:sz w:val="28"/>
        </w:rPr>
        <w:t xml:space="preserve">Learning Achievement, </w:t>
      </w:r>
      <w:r w:rsidR="00C96582" w:rsidRPr="00C96582">
        <w:rPr>
          <w:rFonts w:ascii="TH SarabunPSK" w:hAnsi="TH SarabunPSK" w:cs="TH SarabunPSK"/>
          <w:sz w:val="28"/>
        </w:rPr>
        <w:t>activity</w:t>
      </w:r>
      <w:r w:rsidRPr="00150275">
        <w:rPr>
          <w:rFonts w:ascii="TH SarabunPSK" w:hAnsi="TH SarabunPSK" w:cs="TH SarabunPSK"/>
          <w:sz w:val="28"/>
        </w:rPr>
        <w:t xml:space="preserve"> by using CIPPA Model</w:t>
      </w:r>
      <w:r w:rsidR="00DF6A35">
        <w:rPr>
          <w:rFonts w:ascii="TH SarabunPSK" w:hAnsi="TH SarabunPSK" w:cs="TH SarabunPSK"/>
          <w:sz w:val="28"/>
        </w:rPr>
        <w:t>,</w:t>
      </w:r>
      <w:r w:rsidR="00DF6A35" w:rsidRPr="00DF6A35">
        <w:rPr>
          <w:rFonts w:ascii="TH SarabunPSK" w:hAnsi="TH SarabunPSK" w:cs="TH SarabunPSK"/>
          <w:sz w:val="28"/>
          <w:cs/>
        </w:rPr>
        <w:t xml:space="preserve"> </w:t>
      </w:r>
      <w:r w:rsidR="00DF6A35" w:rsidRPr="00150275">
        <w:rPr>
          <w:rFonts w:ascii="TH SarabunPSK" w:hAnsi="TH SarabunPSK" w:cs="TH SarabunPSK"/>
          <w:sz w:val="28"/>
        </w:rPr>
        <w:t xml:space="preserve">the topic of </w:t>
      </w:r>
      <w:proofErr w:type="spellStart"/>
      <w:r w:rsidR="00DF6A35" w:rsidRPr="00150275">
        <w:rPr>
          <w:rFonts w:ascii="TH SarabunPSK" w:hAnsi="TH SarabunPSK" w:cs="TH SarabunPSK"/>
          <w:sz w:val="28"/>
        </w:rPr>
        <w:t>Klonglokkanit</w:t>
      </w:r>
      <w:proofErr w:type="spellEnd"/>
    </w:p>
    <w:p w:rsidR="00F779D2" w:rsidRDefault="00F779D2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p w:rsidR="000422FC" w:rsidRDefault="000422FC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p w:rsidR="000422FC" w:rsidRDefault="000422FC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p w:rsidR="000422FC" w:rsidRDefault="000422FC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p w:rsidR="00F12942" w:rsidRDefault="00F12942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sz w:val="20"/>
          <w:szCs w:val="20"/>
        </w:rPr>
      </w:pPr>
    </w:p>
    <w:p w:rsidR="00F12942" w:rsidRPr="00DF6A35" w:rsidRDefault="00F12942" w:rsidP="00933225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 w:hint="cs"/>
          <w:sz w:val="20"/>
          <w:szCs w:val="20"/>
          <w:cs/>
        </w:rPr>
      </w:pPr>
    </w:p>
    <w:p w:rsidR="000422FC" w:rsidRPr="00E610EF" w:rsidRDefault="00854FE4" w:rsidP="000422FC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E610EF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7028A2" w:rsidRDefault="000422FC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9F23B5">
        <w:rPr>
          <w:rFonts w:ascii="TH SarabunPSK" w:hAnsi="TH SarabunPSK" w:cs="TH SarabunPSK" w:hint="cs"/>
          <w:sz w:val="28"/>
          <w:cs/>
        </w:rPr>
        <w:t>ภาษาไทยเป็น</w:t>
      </w:r>
      <w:r w:rsidR="00FE68CC" w:rsidRPr="00150275">
        <w:rPr>
          <w:rFonts w:ascii="TH SarabunPSK" w:hAnsi="TH SarabunPSK" w:cs="TH SarabunPSK"/>
          <w:sz w:val="28"/>
          <w:cs/>
        </w:rPr>
        <w:t>วัฒนธรรมและเอกลักษณ์ไทยในยุคปัจจุบันมีการเปลี่ยนแปลงไปจากเดิมมาก เป็นการเปลี่ยนแปลงทั้งทางบวกและทางลบ ซึ่งได้รับอิทธิพลมาจากสื่อเทคโนโลยีสมัยใหม่ที่มีความรวดเร็วและขยายวงกว้างขึ้นไปเรื่อย ๆ เนื่องจากได้รับผลกระทบจากการสื่อสารที่ส่งต่อถึงกันด้วยความรวดเร็วของเทคโนโลยีใหม่ ๆ โดย</w:t>
      </w:r>
      <w:r w:rsidR="009F23B5">
        <w:rPr>
          <w:rFonts w:ascii="TH SarabunPSK" w:hAnsi="TH SarabunPSK" w:cs="TH SarabunPSK"/>
          <w:sz w:val="28"/>
          <w:cs/>
        </w:rPr>
        <w:br/>
      </w:r>
      <w:r w:rsidR="00FE68CC" w:rsidRPr="00150275">
        <w:rPr>
          <w:rFonts w:ascii="TH SarabunPSK" w:hAnsi="TH SarabunPSK" w:cs="TH SarabunPSK"/>
          <w:sz w:val="28"/>
          <w:cs/>
        </w:rPr>
        <w:t>เฉพาะภาษาที่ใช้สื่อสารกันในกลุ่มเยาวชนไทยเปลี่ยนแปลงไปมากทั้งโดยตั้งใจและไม่ตั้งใจ ทั้งในด้านที่เป็นความงอกงามและในด้านที่ตรงกันข้าม ซึ่งควรปรับปรุงแก้ไขอย่างเร่งด่วน ทั้งนี้เพราะภาษาไทยเป็นระบบการสื่อสารของคนในชาติไทย เพื่อใช้ในการติดต่อ บอกความต้องการ บอกความรู้สึกนึกคิด ถ่ายทอดความรู้และประสบการณ์ซึ่งกันและกัน อีกทั้งยังเป็นวัฒนธรรมของชาติที่มีลักษณะเด่นเฉพาะตัวและมีเอกลักษณ์แตกต่างจากภาษาอื่น ซึ่งเป็นความภูมิใจของคนไทย แต่ในขณะเดียวกันก็มีการใช้ภาษาไทยแบบไม่คำนึงถึงความถูกต้องของภาษา เช่น การสนทนากันทางสื่อเทคโนโลยีโดยการตัดคำตามสะดวก การใช้คำผิดหน้าที่ การใช้ลักษณนามผิด</w:t>
      </w:r>
      <w:r w:rsidR="007028A2">
        <w:rPr>
          <w:rFonts w:ascii="TH SarabunPSK" w:hAnsi="TH SarabunPSK" w:cs="TH SarabunPSK" w:hint="cs"/>
          <w:sz w:val="28"/>
          <w:cs/>
        </w:rPr>
        <w:t xml:space="preserve"> </w:t>
      </w:r>
      <w:r w:rsidR="00FE68CC" w:rsidRPr="00150275">
        <w:rPr>
          <w:rFonts w:ascii="TH SarabunPSK" w:hAnsi="TH SarabunPSK" w:cs="TH SarabunPSK"/>
          <w:sz w:val="28"/>
          <w:cs/>
        </w:rPr>
        <w:t>(ประภัสสร โพธิ์ศรีทอง</w:t>
      </w:r>
      <w:r w:rsidR="00FE68CC" w:rsidRPr="00150275">
        <w:rPr>
          <w:rFonts w:ascii="TH SarabunPSK" w:hAnsi="TH SarabunPSK" w:cs="TH SarabunPSK"/>
          <w:sz w:val="28"/>
        </w:rPr>
        <w:t xml:space="preserve">, </w:t>
      </w:r>
      <w:r w:rsidR="00FE68CC" w:rsidRPr="00150275">
        <w:rPr>
          <w:rFonts w:ascii="TH SarabunPSK" w:hAnsi="TH SarabunPSK" w:cs="TH SarabunPSK"/>
          <w:sz w:val="28"/>
          <w:cs/>
        </w:rPr>
        <w:t>2556)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</w:rPr>
        <w:tab/>
      </w:r>
      <w:r w:rsidR="00FE68CC" w:rsidRPr="00150275">
        <w:rPr>
          <w:rFonts w:ascii="TH SarabunPSK" w:hAnsi="TH SarabunPSK" w:cs="TH SarabunPSK"/>
          <w:sz w:val="28"/>
          <w:cs/>
        </w:rPr>
        <w:t>จากการศึกษาสำรวจข้อความที่นักเรียนสื่อสารต่อกัน เช</w:t>
      </w:r>
      <w:r w:rsidR="009F23B5">
        <w:rPr>
          <w:rFonts w:ascii="TH SarabunPSK" w:hAnsi="TH SarabunPSK" w:cs="TH SarabunPSK"/>
          <w:sz w:val="28"/>
          <w:cs/>
        </w:rPr>
        <w:t xml:space="preserve">่น การสื่อสารโดยการพูดโดยตรง </w:t>
      </w:r>
      <w:r w:rsidR="00FE68CC" w:rsidRPr="00150275">
        <w:rPr>
          <w:rFonts w:ascii="TH SarabunPSK" w:hAnsi="TH SarabunPSK" w:cs="TH SarabunPSK"/>
          <w:sz w:val="28"/>
          <w:cs/>
        </w:rPr>
        <w:t>การสื่อสารในลักษณะการพิมพ์โดยใช้ไลน์ (</w:t>
      </w:r>
      <w:r w:rsidR="00FE68CC" w:rsidRPr="00150275">
        <w:rPr>
          <w:rFonts w:ascii="TH SarabunPSK" w:hAnsi="TH SarabunPSK" w:cs="TH SarabunPSK"/>
          <w:sz w:val="28"/>
          <w:lang w:val="en-GB"/>
        </w:rPr>
        <w:t>line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) หรือเฟซบุ๊ก (</w:t>
      </w:r>
      <w:proofErr w:type="spellStart"/>
      <w:r w:rsidR="00FE68CC" w:rsidRPr="00150275">
        <w:rPr>
          <w:rFonts w:ascii="TH SarabunPSK" w:hAnsi="TH SarabunPSK" w:cs="TH SarabunPSK"/>
          <w:sz w:val="28"/>
          <w:lang w:val="en-GB"/>
        </w:rPr>
        <w:t>facebook</w:t>
      </w:r>
      <w:proofErr w:type="spellEnd"/>
      <w:r w:rsidR="00FE68CC" w:rsidRPr="00150275">
        <w:rPr>
          <w:rFonts w:ascii="TH SarabunPSK" w:hAnsi="TH SarabunPSK" w:cs="TH SarabunPSK"/>
          <w:sz w:val="28"/>
          <w:cs/>
          <w:lang w:val="en-GB"/>
        </w:rPr>
        <w:t xml:space="preserve">) ร่วมกับการศึกษาจากบทความเกี่ยวกับปัญหาการใช้ภาษาไทย พบว่า มีการใช้ภาษาไทยผิดพลาดและบกพร่องอยู่เสมอ </w:t>
      </w:r>
      <w:r w:rsidR="009F23B5">
        <w:rPr>
          <w:rFonts w:ascii="TH SarabunPSK" w:hAnsi="TH SarabunPSK" w:cs="TH SarabunPSK"/>
          <w:sz w:val="28"/>
          <w:cs/>
          <w:lang w:val="en-GB"/>
        </w:rPr>
        <w:t>ๆ</w:t>
      </w:r>
      <w:r w:rsidR="009F23B5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โดยเฉพาะการใช้คำ สำนวน ใช้ภาษาไม่เหมาะสม</w:t>
      </w:r>
      <w:r w:rsidR="009F23B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 xml:space="preserve">การใช้คำไม่ถูกกาลเทศะ การเขียนสะกดการันต์ การวางรูปวรรณยุกต์ผิดที่ </w:t>
      </w:r>
      <w:r w:rsidR="00A46B99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การใช้ประโยคไม่ถูกต้องเหมาะสม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ส่งผลให้เกิดปัญหาในการเขียนมากขึ้น (ดวงใจ ไทยอุบุญ</w:t>
      </w:r>
      <w:r w:rsidR="00FE68CC" w:rsidRPr="00150275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, </w:t>
      </w:r>
      <w:r w:rsidR="00FE68CC" w:rsidRPr="00150275">
        <w:rPr>
          <w:rFonts w:ascii="TH SarabunPSK" w:hAnsi="TH SarabunPSK" w:cs="TH SarabunPSK"/>
          <w:color w:val="000000" w:themeColor="text1"/>
          <w:sz w:val="28"/>
        </w:rPr>
        <w:t xml:space="preserve">2556, 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หน้า 3) ปัญหาดังกล่าว ที่เป็นประจักษ์ชัด หากปล่อยทิ้งไว้ยิ่งเนิ่นนานเพียงใดจะทำให้เก</w:t>
      </w:r>
      <w:r w:rsidR="00A46B99">
        <w:rPr>
          <w:rFonts w:ascii="TH SarabunPSK" w:hAnsi="TH SarabunPSK" w:cs="TH SarabunPSK"/>
          <w:color w:val="000000" w:themeColor="text1"/>
          <w:sz w:val="28"/>
          <w:cs/>
        </w:rPr>
        <w:t>ิดความเข้าใจผิดในหมู่เยาวชนและ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ประชาชนทั่วไปมากยิ่งขึ้น ในการนี้สถาบันทางการศึกษาที่จัดการศึกษาข</w:t>
      </w:r>
      <w:r w:rsidR="00A46B99">
        <w:rPr>
          <w:rFonts w:ascii="TH SarabunPSK" w:hAnsi="TH SarabunPSK" w:cs="TH SarabunPSK"/>
          <w:color w:val="000000" w:themeColor="text1"/>
          <w:sz w:val="28"/>
          <w:cs/>
        </w:rPr>
        <w:t>ั้นพื้นฐานถือว่าเป็นองค์กรที่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มีบทบาทหน้าที่สำคัญในการให้การศึกษากับเด็กและเยาวชน ตลอดจนประชาชนทั่วไป ให้มีความรู้ ความเข้าใจในการใช้ภาษาไทยที่ถูกต้องและเหมาะสม  กระทรวงศึกษาธิการ โดยสำนักงาน คณะกรรมการศึกษาขั้นพื้นฐาน ตระหนักถึงความสำคัญของการจัดการศึกษาเพื่อพัฒนาสมรรถนะ ทางด้านภาษาไทยที่ถูกต้อง โดยได้บรรจุกลุ่มสาระการเรียนรู้ภาษาไทยไว้ในหลักสูตรแ</w:t>
      </w:r>
      <w:r w:rsidR="00FE68CC" w:rsidRPr="00150275">
        <w:rPr>
          <w:rFonts w:ascii="TH SarabunPSK" w:hAnsi="TH SarabunPSK" w:cs="TH SarabunPSK"/>
          <w:sz w:val="28"/>
          <w:cs/>
        </w:rPr>
        <w:t>กนกลางการศึกษาขั้นพื้นฐาน พุทธศักราช 2551 เพื่อเป็นแนวทางแก้ปัญ</w:t>
      </w:r>
      <w:r w:rsidR="007028A2">
        <w:rPr>
          <w:rFonts w:ascii="TH SarabunPSK" w:hAnsi="TH SarabunPSK" w:cs="TH SarabunPSK"/>
          <w:sz w:val="28"/>
          <w:cs/>
        </w:rPr>
        <w:t>หาการใช้ภาษาไทยไม่ถูกต้องสำหรับ</w:t>
      </w:r>
      <w:r w:rsidR="00FE68CC" w:rsidRPr="00150275">
        <w:rPr>
          <w:rFonts w:ascii="TH SarabunPSK" w:hAnsi="TH SarabunPSK" w:cs="TH SarabunPSK"/>
          <w:sz w:val="28"/>
          <w:cs/>
        </w:rPr>
        <w:t xml:space="preserve">เยาวชน </w:t>
      </w:r>
      <w:r w:rsidR="009F23B5">
        <w:rPr>
          <w:rFonts w:ascii="TH SarabunPSK" w:hAnsi="TH SarabunPSK" w:cs="TH SarabunPSK"/>
          <w:sz w:val="28"/>
          <w:cs/>
        </w:rPr>
        <w:br/>
      </w:r>
      <w:r w:rsidR="009F23B5">
        <w:rPr>
          <w:rFonts w:ascii="TH SarabunPSK" w:hAnsi="TH SarabunPSK" w:cs="TH SarabunPSK"/>
          <w:sz w:val="28"/>
        </w:rPr>
        <w:tab/>
      </w:r>
      <w:r w:rsidR="00FE68CC" w:rsidRPr="00150275">
        <w:rPr>
          <w:rFonts w:ascii="TH SarabunPSK" w:hAnsi="TH SarabunPSK" w:cs="TH SarabunPSK"/>
          <w:sz w:val="28"/>
          <w:cs/>
        </w:rPr>
        <w:t>นอกจากนั้นยังพบว่า นักเรียนโดยภาพรวมของประเทศมีผลสัมฤทธิ์ทางการเรียนวิชาภาษาไทย อยู่ในระดับต่ำ จากรายงานผลการทดสอบทางการศึกษาระดับชาติขั้นพื้นฐาน (</w:t>
      </w:r>
      <w:r w:rsidR="00FE68CC" w:rsidRPr="00150275">
        <w:rPr>
          <w:rFonts w:ascii="TH SarabunPSK" w:hAnsi="TH SarabunPSK" w:cs="TH SarabunPSK"/>
          <w:sz w:val="28"/>
          <w:lang w:val="en-GB"/>
        </w:rPr>
        <w:t>O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-</w:t>
      </w:r>
      <w:r w:rsidR="00FE68CC" w:rsidRPr="00150275">
        <w:rPr>
          <w:rFonts w:ascii="TH SarabunPSK" w:hAnsi="TH SarabunPSK" w:cs="TH SarabunPSK"/>
          <w:sz w:val="28"/>
          <w:lang w:val="en-GB"/>
        </w:rPr>
        <w:t>NET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)</w:t>
      </w:r>
      <w:r w:rsidR="00FE68CC" w:rsidRPr="00150275">
        <w:rPr>
          <w:rFonts w:ascii="TH SarabunPSK" w:hAnsi="TH SarabunPSK" w:cs="TH SarabunPSK"/>
          <w:sz w:val="28"/>
          <w:cs/>
        </w:rPr>
        <w:t xml:space="preserve"> ของสำนักทดสอบทางการศึกษาระดับชาติ (สทศ.) ได้สรุปผลคะแนนเฉลี่ยผลการทดสอบ </w:t>
      </w:r>
      <w:r w:rsidR="00FE68CC" w:rsidRPr="00150275">
        <w:rPr>
          <w:rFonts w:ascii="TH SarabunPSK" w:hAnsi="TH SarabunPSK" w:cs="TH SarabunPSK"/>
          <w:sz w:val="28"/>
          <w:lang w:val="en-GB"/>
        </w:rPr>
        <w:t>O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-</w:t>
      </w:r>
      <w:r w:rsidR="00FE68CC" w:rsidRPr="00150275">
        <w:rPr>
          <w:rFonts w:ascii="TH SarabunPSK" w:hAnsi="TH SarabunPSK" w:cs="TH SarabunPSK"/>
          <w:sz w:val="28"/>
          <w:lang w:val="en-GB"/>
        </w:rPr>
        <w:t>NET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 xml:space="preserve"> นักเรียน</w:t>
      </w:r>
      <w:r w:rsidR="00FE68CC" w:rsidRPr="00150275">
        <w:rPr>
          <w:rFonts w:ascii="TH SarabunPSK" w:hAnsi="TH SarabunPSK" w:cs="TH SarabunPSK"/>
          <w:sz w:val="28"/>
          <w:cs/>
        </w:rPr>
        <w:t>ชั้นประถมศึกษาปีที่ 6 ปีการศึกษา 2559 เมื่อวันที่ 2</w:t>
      </w:r>
      <w:r w:rsidR="00FE68CC" w:rsidRPr="00150275">
        <w:rPr>
          <w:rFonts w:ascii="TH SarabunPSK" w:hAnsi="TH SarabunPSK" w:cs="TH SarabunPSK"/>
          <w:sz w:val="28"/>
        </w:rPr>
        <w:t>4</w:t>
      </w:r>
      <w:r w:rsidR="00FE68CC" w:rsidRPr="00150275">
        <w:rPr>
          <w:rFonts w:ascii="TH SarabunPSK" w:hAnsi="TH SarabunPSK" w:cs="TH SarabunPSK"/>
          <w:sz w:val="28"/>
          <w:cs/>
        </w:rPr>
        <w:t xml:space="preserve"> มีนาคม 2560 ที่ผ่านมา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ว่า ผลสัมฤทธิ์ทางการเรียนรายวิชาภาษาไทยมีคะแนนเฉลี่ยสูงสุด คือ สาระการฟัง การดู การพูด (71.35) รองลงมา คือ สาระการเขียน (55.36) ผลสัมฤทธิ์ทางการเรียนที่ไม่ถึงร้อยละ 50 คือ สาระวรรณคดีและวรรณกรรม (48.62) สาระการอ่าน (48.53) และสาระหลักการใช้ภาษา (48.07) (ตารางสรุปผลการทดสอบทางการศึกษาระดับชาติขั้นพื้นฐาน (</w:t>
      </w:r>
      <w:r w:rsidR="00FE68CC" w:rsidRPr="00150275">
        <w:rPr>
          <w:rFonts w:ascii="TH SarabunPSK" w:hAnsi="TH SarabunPSK" w:cs="TH SarabunPSK"/>
          <w:sz w:val="28"/>
          <w:lang w:val="en-GB"/>
        </w:rPr>
        <w:t>O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-</w:t>
      </w:r>
      <w:r w:rsidR="00FE68CC" w:rsidRPr="00150275">
        <w:rPr>
          <w:rFonts w:ascii="TH SarabunPSK" w:hAnsi="TH SarabunPSK" w:cs="TH SarabunPSK"/>
          <w:sz w:val="28"/>
          <w:lang w:val="en-GB"/>
        </w:rPr>
        <w:t>NET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>)</w:t>
      </w:r>
      <w:r w:rsidR="00FE68CC" w:rsidRPr="00150275">
        <w:rPr>
          <w:rFonts w:ascii="TH SarabunPSK" w:hAnsi="TH SarabunPSK" w:cs="TH SarabunPSK"/>
          <w:sz w:val="28"/>
          <w:lang w:val="en-GB"/>
        </w:rPr>
        <w:t>, 255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 xml:space="preserve">9) </w:t>
      </w:r>
      <w:r w:rsidR="00FE68CC" w:rsidRPr="00150275">
        <w:rPr>
          <w:rFonts w:ascii="TH SarabunPSK" w:hAnsi="TH SarabunPSK" w:cs="TH SarabunPSK"/>
          <w:sz w:val="28"/>
          <w:cs/>
        </w:rPr>
        <w:t xml:space="preserve">จากสภาพปัญหาอันเนื่องจากผลสัมฤทธิ์ทางการเรียนไม่ผ่านเกณฑ์มาตรฐานระดับชาติเป็นส่วนใหญ่นี้ สาเหตุปัจจัยหนึ่งมีผลมาจากการสอนของครู 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และจากการสอบถามครูผู้สอนวิชาภาษาไทย ชั้นมัธยมศึกษาปีที่ 1 ปีการศึกษา 2560 โรงเรียนเทศบาลวัดบางนมโค (ปานอุทิศ) นักเรียนส่วนใหญ่ทำข้อสอบ เรื่อง โคลงโลกนิติ ในรายวิชาภาษาไทยได้ในระดับพอใช้ และเมื่อให้วิเคราะห์โคลงโลกนิติ ซึ่งเป็นวรรณคดีที่ให้บทเรียนชีวิต เป็นสุภาษิตที่สอนให้ทุกคนเป็นคนดี สามารถนำไปใช้ในการดำรงชีวิตได้อย่าง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มีความสุข แต่ผู้เรียนไม่รู้จักวิเคราะห์และประยุกต์ใช้ไม่ได้ ผู้เรียนขาดทักษะการอ่านออกเสียง </w:t>
      </w:r>
      <w:r w:rsidR="00FE68CC" w:rsidRPr="00150275">
        <w:rPr>
          <w:rFonts w:ascii="TH SarabunPSK" w:hAnsi="TH SarabunPSK" w:cs="TH SarabunPSK"/>
          <w:sz w:val="28"/>
          <w:cs/>
        </w:rPr>
        <w:t>การจับใจความ การตีความ และขาดทักษะในการถ่ายทอดทั้งการพูดและการเขียน ไม่เข้าใจและขาดทักษะการสร้างคำในภาษาไทย ไม่สามารถสื่อสารและปฏิบัติได้อย่างเข้าใจ นักเรียนมีความกังวลอันเนื่องมาจากไม่สามารถแยกแยะข้อเท็จจริงและข้อคิดเห็นที่เป็นของตนเองได้</w:t>
      </w:r>
      <w:r w:rsidR="00FE68CC" w:rsidRPr="00150275">
        <w:rPr>
          <w:rFonts w:ascii="TH SarabunPSK" w:hAnsi="TH SarabunPSK" w:cs="TH SarabunPSK"/>
          <w:sz w:val="28"/>
          <w:cs/>
          <w:lang w:val="en-GB"/>
        </w:rPr>
        <w:t xml:space="preserve"> ส่งผลให้ผลสัมฤทธิ์ทางการเรียนวิชาภาษาไทยของนักเรียนไม่ผ่านเกณฑ์โรงเรียน </w:t>
      </w:r>
      <w:r w:rsidR="00FE68CC" w:rsidRPr="00150275">
        <w:rPr>
          <w:rFonts w:ascii="TH SarabunPSK" w:hAnsi="TH SarabunPSK" w:cs="TH SarabunPSK"/>
          <w:sz w:val="28"/>
          <w:cs/>
        </w:rPr>
        <w:t xml:space="preserve">และไม่ผ่านเกณฑ์มาตรฐานในระดับชาติ  </w:t>
      </w:r>
    </w:p>
    <w:p w:rsidR="00FE68CC" w:rsidRPr="007028A2" w:rsidRDefault="007028A2" w:rsidP="007028A2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แนวทางการจัดการเรียนการสอนเพื่อแก้ปัญหาการใช้ภาษาไทยไม่ถูกต้อง ครูต้องปรับการเรียนเปลี่ยนการสอนใหม่ จากการเป็นผู้บอกเล่าหรือบรรยายแล้วทำการทดสอบเพื่อเอาคะแนน มาเป็นผู้กำกับ เป็นผู้อำนวยความสะดวก เป็นผู้ให้คำปรึกษา คอยให้คำชี้แนะ และเป็นผู้ประเมินตามสภาพจริง เพื่อนำผลที่เป็นข้อบกพร่องไปปรับพัฒนาผู้เรียนในด้านความรู้ความเข้าใจ ด้านทักษะต่าง ๆ เช่น ทักษะการคิดวิเคราะห์ ทักษะการคิดสร้างสรรค์ ทักษะการใช้เทคโนโลยีใหม่ ๆ และทักษะการทำงานเป็นทีม ในส่วนของผู้เรียนก็ต้องปรับเปลี่ยนการเรียนรู้จากการเป็นผู้ดูผู้ฟัง มาเป็นผู้เสาะแสวงหาความรู้ ค้นคว้าและลงมือปฏิบัติด้วยตนเองบ่อย ๆ จนเกิดความรวดเร็วและชำนาญ สอดคล้องกับหลักการของ หลักสูตรแกนกลางการศึกษาขั้นพื้นฐาน พุทธศักราช 2551 ที่มุ่งเน้นให้จัดการศึกษาโดยหวังให้ผู้เรียนมีคุณภาพทั้งด้านความรู้ ความคิด ความสามารถที่เน้นกระบวนการเรียนรู้ไปสู่การสร้างองค์ความรู้ โดยผู้สอนจะมีบทบาทในการวางแผนการจัดการเรียนรู้ กระตุ้น แนะนำช่วยเหลือผู้เรียนให้เกิดการเรียนรู้ในการใช้ทักษะชีวิตและแก้ปัญหาที่ถูกต้อง ส่งเสริมให้ผู้เรียนสามารถเรียนรู้ได้ทุกที่ทุกเวลา และมีความสุขกับการเรียน (กระทรวงศึกษาธิการ</w:t>
      </w:r>
      <w:r w:rsidR="00FE68CC" w:rsidRPr="0015027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2551</w:t>
      </w:r>
      <w:r w:rsidR="00FE68CC" w:rsidRPr="0015027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FE68CC" w:rsidRPr="00150275">
        <w:rPr>
          <w:rFonts w:ascii="TH SarabunPSK" w:hAnsi="TH SarabunPSK" w:cs="TH SarabunPSK"/>
          <w:color w:val="000000" w:themeColor="text1"/>
          <w:sz w:val="28"/>
          <w:cs/>
        </w:rPr>
        <w:t>หน้า 3)</w:t>
      </w:r>
    </w:p>
    <w:p w:rsidR="00FE68CC" w:rsidRPr="00150275" w:rsidRDefault="00FE68CC" w:rsidP="00933225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ind w:firstLine="851"/>
        <w:jc w:val="thaiDistribute"/>
        <w:rPr>
          <w:rFonts w:ascii="TH SarabunPSK" w:hAnsi="TH SarabunPSK" w:cs="TH SarabunPSK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ทิศนา แขมมณี (2556</w:t>
      </w:r>
      <w:r w:rsidRPr="00150275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,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หน้า 4-5) อธิบายไว้ว่า รูปแบบการเรียนการสอน หมายถึง ลักษณะของการจัดการเรียนการสอนอย่างเป็นระบบระเบียบตามหลักปรัชญา ทฤษฎี หลักการ แนวคิดหรือความเชื่อต่าง ๆ ที่มีการจัดกระบวนการเรียนการสอนโดยอาศัยวิธีสอนและเทคนิคการสอนต่าง ๆ เข้าไปช่วยทำให้สภาพการเรียนการสอนนั้นเป็นไปตามหลักการที่ยึดถือ และได้รับการพิสูจน์และทดสอบแล้วว่ามีประสิทธิภาพ โดยการสอนรูปแบบซิปปาเป็นวิธีสอนที่สามารถใช้เป็นแบบแผนได้รูปแบบหนึ่ง เนื่องจากมีการใช้แนวคิดทางการศึกษาต่าง ๆ ในการสอนเป็นเวลามากกว่า 30 ปี หลักการสำคัญคือ หลักการสร้างความรู้ หลักกระบวนการกลุ่มการเรียนรู้แบบร่วมมือ หลักความพร้อมในการเรียนรู้ หลักการเรียนรู้กระบวนการ และหลักการถ่ายโอนการเรียนรู้ ซึ่งสอดคล้องกับการจัดการเรียนรู้ที่เน้นผู้เรียนเป็นสำคัญ และเน้นผู้เรียนเป็นผู้ลงมือปฏิบัติ  ครูผู้สอนจำเป็นต้อง</w:t>
      </w:r>
      <w:r w:rsidRPr="00150275">
        <w:rPr>
          <w:rFonts w:ascii="TH SarabunPSK" w:hAnsi="TH SarabunPSK" w:cs="TH SarabunPSK"/>
          <w:sz w:val="28"/>
          <w:cs/>
        </w:rPr>
        <w:t>ตรวจสอบและคอยหมั่นพัฒนาตนเอง</w:t>
      </w:r>
      <w:r w:rsidRPr="00150275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150275">
        <w:rPr>
          <w:rFonts w:ascii="TH SarabunPSK" w:hAnsi="TH SarabunPSK" w:cs="TH SarabunPSK"/>
          <w:sz w:val="28"/>
          <w:cs/>
        </w:rPr>
        <w:t xml:space="preserve">ต้องปรับการเรียนเปลี่ยนการสอนให้เน้นผู้เรียนลงมือปฏิบัติและฝึกฝนอย่างต่อเนื่อง เพื่อให้การเรียนการสอนเกิดผลดีแก่ผู้เรียน วิธีการจัดการเรียนรู้รูปแบบซิปปาจะทำให้ผู้เรียนสนใจและกระตือรือร้นอยากจะเรียนรู้และฝึกฝน มีความเข้าใจในเรื่องที่เรียน และเกิดการเรียนรู้และประสบการณ์ได้อย่างรวดเร็ว  </w:t>
      </w:r>
    </w:p>
    <w:p w:rsidR="00BF11B6" w:rsidRDefault="00FE68CC" w:rsidP="00BF11B6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28"/>
        </w:rPr>
      </w:pPr>
      <w:r w:rsidRPr="00150275">
        <w:rPr>
          <w:rFonts w:ascii="TH SarabunPSK" w:hAnsi="TH SarabunPSK" w:cs="TH SarabunPSK"/>
          <w:sz w:val="28"/>
        </w:rPr>
        <w:tab/>
      </w:r>
      <w:r w:rsidRPr="00150275">
        <w:rPr>
          <w:rFonts w:ascii="TH SarabunPSK" w:hAnsi="TH SarabunPSK" w:cs="TH SarabunPSK"/>
          <w:sz w:val="28"/>
          <w:cs/>
        </w:rPr>
        <w:t>จากความเป็นมาและความสำคัญของปัญหาดังกล่าว ผู้วิจัยจึงสนใจที่จะศึกษาแบบการจัดกิจกรรมการเรียนรู้ตามรูปแบบซิปปา เรื่อง โคลงโลกนิติ วิชาภาษาไทย  และสนใจศึกษาทักษะการคิดวิเคราะห์ด้านการคิดแยกแยะ การคิดสะท้อนย้อนทวน การคิดไตร่ตรอง และการคิดอย่างสมเหตุสมผล รวมถึงเปรียบเทียบผลสัมฤทธิ์ทางการเรียนเรื่อง โคลงโลกนิติ วิชาภาษาไทย ก่อนเรียนและหลังเรียนด้วยการจัดกิจกรรมการเรียนรู้ตามรูปแบบซิปปา ของนักเรียนชั้นมัธยมศึกษาปีที่ 1  และจะได้นำผลการวิจัยมาต่อยอดเพื่อพัฒนาการจัดการเรียนรู้วิชาภาษาไทย ตลอดจนเป็นข้อมูลที่มีประโยชน์สำหรับครูและนักเรียนที่สนใจต่อไป</w:t>
      </w:r>
    </w:p>
    <w:p w:rsidR="00BF11B6" w:rsidRDefault="00BF11B6" w:rsidP="00BF11B6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BF11B6" w:rsidRPr="00BF11B6" w:rsidRDefault="005156BC" w:rsidP="00E610EF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F11B6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วัตถุประสงค์ของการวิจัย</w:t>
      </w:r>
    </w:p>
    <w:p w:rsidR="00BF11B6" w:rsidRDefault="00874A3F" w:rsidP="00BF11B6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เพื่อเปรียบเทียบผลสัมฤทธิ์ทางการเรียน เรื่อง โคลงโลกนิติ วิชาภาษาไทย ของนักเรียนชั้นมัธยมศึกษาปีที่ 1 ก่อนเรียนและหลังเรียนด้วยกิจกรรมการเรียนรู้ตามรูปแบบซิปปา</w:t>
      </w:r>
    </w:p>
    <w:p w:rsidR="00BF11B6" w:rsidRPr="00BF11B6" w:rsidRDefault="00BF11B6" w:rsidP="00BF11B6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BF11B6" w:rsidRPr="00BF11B6" w:rsidRDefault="005156BC" w:rsidP="00672D90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F11B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</w:t>
      </w:r>
      <w:r w:rsidR="0053045C" w:rsidRPr="00BF11B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ดำเนินการวิจัย</w:t>
      </w:r>
    </w:p>
    <w:p w:rsidR="00672D90" w:rsidRDefault="00672D90" w:rsidP="00672D90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A24E1">
        <w:rPr>
          <w:rFonts w:ascii="TH SarabunPSK" w:hAnsi="TH SarabunPSK" w:cs="TH SarabunPSK" w:hint="cs"/>
          <w:color w:val="000000" w:themeColor="text1"/>
          <w:sz w:val="28"/>
          <w:cs/>
        </w:rPr>
        <w:t>1.</w:t>
      </w:r>
      <w:r w:rsidR="0024745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A24E1">
        <w:rPr>
          <w:rFonts w:ascii="TH SarabunPSK" w:hAnsi="TH SarabunPSK" w:cs="TH SarabunPSK" w:hint="cs"/>
          <w:color w:val="000000" w:themeColor="text1"/>
          <w:sz w:val="28"/>
          <w:cs/>
        </w:rPr>
        <w:t>ประชากรและกลุ่มตัวอย่างที่ใช้ในการวิจัย</w:t>
      </w:r>
    </w:p>
    <w:p w:rsidR="00672D90" w:rsidRDefault="00672D90" w:rsidP="00672D90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A24E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>1.1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ประชากรที่ใช้ในการวิจัยครั้งนี้ ได้แก่ นักเรียนชั้นมัธยมศึกษาปีที่ 1 โรงเรียนในสังกัดเทศบาลตำบลบางนมโค อำเภอเสนา สังกัดองค์กรปกครองส่วนท้องถิ่น กรมส่งเสริมการปกครองท้องถิ่น กระทรวงมหาดไทย จังหวัดพระนครศรีอยุธยา รวมจำนวน 3 โรงเรียน ได้แก่ โรงเรียนเทศบาลวัดบางนมโค (ปาน อุทิศ) โรงเรียนเทศบาลวัดมารวิชัย (เกษม ปกาสิตอนุสรณ์) และโรงเรียนเทศบาลวัดสุธาโภชน์ (ไวทย์วรวิทย์) จำนวน 5 ห้องเรียน รวม 145 คน  โดยแต่ละโรงเรียนใช้หลักสูตรสถานศึกษาที่พัฒนาร่วมกันและดำเนินการจัดการเรียนการสอนแบบคละความสามารถเก่ง ปานกลาง และอ่อน </w:t>
      </w:r>
    </w:p>
    <w:p w:rsidR="006A24E1" w:rsidRDefault="006A24E1" w:rsidP="006A24E1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>1.2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กลุ่มตัวอย่างที่ใช้ในการวิจัยครั้งนี้ ได้แก่ นักเรียนชั้นมัธยมศึกษาปีที่ 1 โรงเรียนเทศบาลวัดบางนมโค (ปานอุทิศ) สังกัดองค์การบริหารส่วนตำบลบางนมโค อำเภอเสนา สังกัดองค์กรปกครองส่วนท้องถิ่น กรมส่งเสริมการปกครองท้องถิ่น กระทรวงมหาดไทย จังหวัดพระนครศรีอยุธยา ผู้วิจัยสุ่มกลุ่มตัวอย่างจากนักเรียนชั้นมัธยมศึกษาปีที่ 1 ที่เรียนวิชาภาษาไทย ในภาคเรียนที่ 2 ปีการศึกษา 2560 </w:t>
      </w:r>
      <w:r w:rsidR="00DA0B98">
        <w:rPr>
          <w:rFonts w:ascii="TH SarabunPSK" w:hAnsi="TH SarabunPSK" w:cs="TH SarabunPSK" w:hint="cs"/>
          <w:color w:val="000000" w:themeColor="text1"/>
          <w:sz w:val="28"/>
          <w:cs/>
        </w:rPr>
        <w:t>โดยใช้การสุ่มแบบใช้หลักความน่าจะเป็น (</w:t>
      </w:r>
      <w:r w:rsidR="00DA0B98">
        <w:rPr>
          <w:rFonts w:ascii="TH SarabunPSK" w:hAnsi="TH SarabunPSK" w:cs="TH SarabunPSK"/>
          <w:color w:val="000000" w:themeColor="text1"/>
          <w:sz w:val="28"/>
        </w:rPr>
        <w:t>probability sampling</w:t>
      </w:r>
      <w:r w:rsidR="00DA0B9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ด้วยวิธีการสุ่มแบบกลุ่ม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cluster sampling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ซึ่งจัดให้หน่วยสุ่มเป็นห้องเรียน </w:t>
      </w:r>
      <w:r w:rsidR="00DA0B98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DA0B98">
        <w:rPr>
          <w:rFonts w:ascii="TH SarabunPSK" w:hAnsi="TH SarabunPSK" w:cs="TH SarabunPSK"/>
          <w:color w:val="000000" w:themeColor="text1"/>
          <w:sz w:val="28"/>
        </w:rPr>
        <w:t>sampling unit</w:t>
      </w:r>
      <w:r w:rsidR="00DA0B9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DA0B9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โดยทำการจับสลากเพื่อกำหนดห้องเรียนที่ใช้กิจกรรมการเรียนรู้ตามรูปแบบซิปปา จำนวน 1 ห้อง ผลปรากฏว่าได้ห้อง ม.1/1 จำนวน 30 คน เป็นกลุ่มตัวอย่าง</w:t>
      </w:r>
    </w:p>
    <w:p w:rsidR="006A24E1" w:rsidRDefault="006A24E1" w:rsidP="006A24E1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 xml:space="preserve">2. </w:t>
      </w:r>
      <w:r w:rsidR="005156BC" w:rsidRPr="006A24E1">
        <w:rPr>
          <w:rFonts w:ascii="TH SarabunPSK" w:hAnsi="TH SarabunPSK" w:cs="TH SarabunPSK"/>
          <w:color w:val="000000" w:themeColor="text1"/>
          <w:sz w:val="28"/>
          <w:cs/>
        </w:rPr>
        <w:t>เครื่องมือที่ใช้ในการ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>เก็บรวบรวมข้อมูล</w:t>
      </w:r>
      <w:r w:rsidR="002D0A7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ได้แก่</w:t>
      </w:r>
    </w:p>
    <w:p w:rsidR="002A5E7B" w:rsidRDefault="006A24E1" w:rsidP="002A5E7B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เครื่องมือที่ใช้ในการทดลอง </w:t>
      </w:r>
      <w:r w:rsidR="003D7CF0">
        <w:rPr>
          <w:rFonts w:ascii="TH SarabunPSK" w:hAnsi="TH SarabunPSK" w:cs="TH SarabunPSK" w:hint="cs"/>
          <w:color w:val="000000" w:themeColor="text1"/>
          <w:sz w:val="28"/>
          <w:cs/>
        </w:rPr>
        <w:t>คือ</w:t>
      </w:r>
    </w:p>
    <w:p w:rsidR="002A5E7B" w:rsidRDefault="002A5E7B" w:rsidP="00CA1372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E610EF">
        <w:rPr>
          <w:rFonts w:ascii="TH SarabunPSK" w:hAnsi="TH SarabunPSK" w:cs="TH SarabunPSK" w:hint="cs"/>
          <w:color w:val="000000" w:themeColor="text1"/>
          <w:sz w:val="28"/>
          <w:cs/>
        </w:rPr>
        <w:t>2.1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กิจกรรมการเรียนรู้ตามรูปแบบซิปปา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CIPPA Model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ศึกษาหนังสือ เอกสาร งานวิจัยทั้งในประเทศและต่างประเทศที่เกี่ยวข้องกับทฤษฎีและหลักการจัดกิจกรรมการเรียนรู้ที่เน้นผู้เรียนเป็นสำคัญและก</w:t>
      </w:r>
      <w:r w:rsidR="00CA1372">
        <w:rPr>
          <w:rFonts w:ascii="TH SarabunPSK" w:hAnsi="TH SarabunPSK" w:cs="TH SarabunPSK"/>
          <w:color w:val="000000" w:themeColor="text1"/>
          <w:sz w:val="28"/>
          <w:cs/>
        </w:rPr>
        <w:t xml:space="preserve">ิจกรรมการเรียนรู้ตามรูปแบบซิปปา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ศึกษาหลักสูตรแกนกลางการศึกษาขั้นพื้นฐาน พุทธศักราช 2551 และฉบับปรับปรุง พุทธศักราช 2560 ประกอบด้วย มาตรฐานการเรียนรู้และตัวชี้วัด กลุ่มสาระการเรียนรู้ภาษา</w:t>
      </w:r>
      <w:r w:rsidR="00CA1372">
        <w:rPr>
          <w:rFonts w:ascii="TH SarabunPSK" w:hAnsi="TH SarabunPSK" w:cs="TH SarabunPSK"/>
          <w:color w:val="000000" w:themeColor="text1"/>
          <w:sz w:val="28"/>
          <w:cs/>
        </w:rPr>
        <w:t xml:space="preserve">ไทย ระดับชั้นมัธยมศึกษาปีที่ 1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ศึกษาและวิเคราะห์กระบวนการและขั้นตอนก</w:t>
      </w:r>
      <w:r w:rsidR="00CA1372">
        <w:rPr>
          <w:rFonts w:ascii="TH SarabunPSK" w:hAnsi="TH SarabunPSK" w:cs="TH SarabunPSK"/>
          <w:color w:val="000000" w:themeColor="text1"/>
          <w:sz w:val="28"/>
          <w:cs/>
        </w:rPr>
        <w:t xml:space="preserve">ารจัดการเรียนรู้ตามรูปแบบซิปปา 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>จากนั้น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วิเคราะห์มาตรฐานการเรียนรู้ ตัวชี้วัด และสาระการเรียนรู้ภาษาไทย เรื่อง โคลงโลกนิติ โครงสร้างเวลาเรียน การวัดและการประเมินผลการเรียนรู้ และสรุปสาระสำคัญของเนื้อหา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ออกแบบการจัดกิจกรรมการเรียนรู้ภาษาไทย ระดับชั้นมัธยมศึกษาปีที่ 1 เรื่องโคลงโลกนิติ ผู้วิจัยนำรูปแบบซิปปา 7 ขั้น มาเป็นฐานในการออกแบบการจัดกิจกรรมการเรียนรู้ตามลำดับ ได้แก่ ขั้นที่ 1 การทบทวนความรู้เดิม  ขั้นที่ 2 การแสวงหาความรู้ใหม่ ขั้นที่ 3 การศึกษาทำความเข้าใจความรู้ใหม่ และเชื่อมโยงความรู้ใหม่กับความรู้เดิม ขั้นที่ 4 การแลกเปลี่ยนความรู้ความเข้าใจกับกลุ่ม ขั้นที่ 5 การสรุปจัดระเบียบความรู้ และวิเคราะห์กระบวนการเรียนรู้ ขั้นที่ 6 การปฏิบัติและหรือการแสดงผลงาน ขั้นที่ 7 การประยุกต์ใช้ความรู้</w:t>
      </w:r>
    </w:p>
    <w:p w:rsidR="00CA1372" w:rsidRDefault="002A5E7B" w:rsidP="00CA1372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E610EF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2474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แผนการจัดการเรียนรู้ เรื่องโคลงโลกนิติ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สร้างแผนการจัดการเรียนรู้ วิชาภาษาไทย เรื่อง โคลงโลกนิติ จำนวน 4 แผน แผนละ 2 คาบเรียน แผนการจัดการเรียนรู้ที่ 1 เรื่อง  ปฐมบทโคลงโลกนิติชวนคิดพินิจ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หลักการ  แผนการจัดการเรียนรู้ที่ 2 เรื่อง  อ่านโคลงโลกนิติได้ใจความ  แผนการจัดการเรียนรู้ที่ 3 เรื่อง  อรรถรสวรรณศิลป์ในโคลงโลกนิติ  แผนการจัดการเรียนรู้ที่ 4 เรื่อง  ข้อคิดสุภาษิตคำสอน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นำแผนการจัดการเรียนรู้ที่ผู้วิจัยสร้างขึ้น เสนอต่ออาจารย์ที่ปรึกษาเพื่อตรวจสอบ ความเหมาะสม ความถูกต้อง ความชัดเจนของเนื้อหาและภาษาที่ใช้ ได้แก่ มาตรฐานการเรียนรู้ ตัวชี้วัด จุดประสงค์การเรียนรู้ สาระสำคัญ สาระการเรียนรู้ กิจกรรมการเรียนรู้ สื่อการเรียนรู้ แหล่ง การเรียนรู้ การวัดผลและการประเมินผลการเรียนรู้ เกณฑ์การประเมินผลการเรียนรู้ แล้วนำมา ปรับปรุงแก้ไขตามข้อเสนอแนะของอาจารย์ที่ปรึกษา ได้แก่ การปรับกิจกรรมการจัดการเรียนรู้ 7  ขั้นตอน ตามรูปแบบซิปปา ให้สอดคล้องกับแบบการจัดกิจกรรมการเรียนรู้ที่ออกแบบไว้ทั้ง 4 แผน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นำแผนการจัดการเรียนรู้ที่ได้รับการปรับแก้ไขตามคำแนะนำของอาจารย์ที่ปรึกษา เรียบร้อยแล้ว ไปให้ผู้เชี่ยวชาญตรวจสอบความเที่ยงตรงเชิงเนื้อหา จำนวน 3 ท่าน</w:t>
      </w:r>
      <w:r w:rsidR="00CA137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นำแผนการจัดการเรียนรู้ที่ได้รับจากผู้เชี่ยวชาญ มาคำนวณหาค่าความเที่ยงตรงเชิงเนื้อหา โดยหาค่าดัชนีความสอดคล้อง (</w:t>
      </w:r>
      <w:r w:rsidR="00CA1372" w:rsidRPr="00150275">
        <w:rPr>
          <w:rFonts w:ascii="TH SarabunPSK" w:hAnsi="TH SarabunPSK" w:cs="TH SarabunPSK"/>
          <w:color w:val="000000" w:themeColor="text1"/>
          <w:sz w:val="28"/>
        </w:rPr>
        <w:t>Item Objective Congruence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CA1372" w:rsidRPr="00150275">
        <w:rPr>
          <w:rFonts w:ascii="TH SarabunPSK" w:hAnsi="TH SarabunPSK" w:cs="TH SarabunPSK"/>
          <w:color w:val="000000" w:themeColor="text1"/>
          <w:sz w:val="28"/>
        </w:rPr>
        <w:t>IOC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จะมีค่า </w:t>
      </w:r>
      <w:r w:rsidR="00CA1372" w:rsidRPr="00150275">
        <w:rPr>
          <w:rFonts w:ascii="TH SarabunPSK" w:hAnsi="TH SarabunPSK" w:cs="TH SarabunPSK"/>
          <w:color w:val="000000" w:themeColor="text1"/>
          <w:sz w:val="28"/>
        </w:rPr>
        <w:t xml:space="preserve">IOC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ตั้งแต่ 0.5 ขึ้นไป ผลการวิเคราะห์พบว่า ค่า </w:t>
      </w:r>
      <w:r w:rsidR="00CA1372" w:rsidRPr="00150275">
        <w:rPr>
          <w:rFonts w:ascii="TH SarabunPSK" w:hAnsi="TH SarabunPSK" w:cs="TH SarabunPSK"/>
          <w:color w:val="000000" w:themeColor="text1"/>
          <w:sz w:val="28"/>
        </w:rPr>
        <w:t xml:space="preserve">IOC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ของแผนการจัดการเ</w:t>
      </w:r>
      <w:r w:rsidR="00CA1372">
        <w:rPr>
          <w:rFonts w:ascii="TH SarabunPSK" w:hAnsi="TH SarabunPSK" w:cs="TH SarabunPSK"/>
          <w:color w:val="000000" w:themeColor="text1"/>
          <w:sz w:val="28"/>
          <w:cs/>
        </w:rPr>
        <w:t xml:space="preserve">รียนรู้ มีค่าระหว่าง 0.67 - 1 </w:t>
      </w:r>
      <w:r w:rsidR="00CA1372" w:rsidRPr="00150275">
        <w:rPr>
          <w:rFonts w:ascii="TH SarabunPSK" w:hAnsi="TH SarabunPSK" w:cs="TH SarabunPSK"/>
          <w:color w:val="000000" w:themeColor="text1"/>
          <w:sz w:val="28"/>
          <w:cs/>
        </w:rPr>
        <w:t>นำแผนการจัดกิจกรรมการเรียนรู้ที่ผ่านการตรวจประเมินจากผู้เชี่ยวชาญแล้ว ไปใช้จริงกับนักเรียนกลุ่มตัวอย่าง</w:t>
      </w:r>
    </w:p>
    <w:p w:rsidR="003D7CF0" w:rsidRDefault="00CA1372" w:rsidP="00CA1372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เครื่องมือ</w:t>
      </w:r>
      <w:r w:rsidR="003D7CF0">
        <w:rPr>
          <w:rFonts w:ascii="TH SarabunPSK" w:hAnsi="TH SarabunPSK" w:cs="TH SarabunPSK"/>
          <w:color w:val="000000" w:themeColor="text1"/>
          <w:sz w:val="28"/>
          <w:cs/>
        </w:rPr>
        <w:t xml:space="preserve">ที่ใช้ในการเก็บรวบรวมข้อมูล </w:t>
      </w:r>
      <w:r w:rsidR="003D7CF0">
        <w:rPr>
          <w:rFonts w:ascii="TH SarabunPSK" w:hAnsi="TH SarabunPSK" w:cs="TH SarabunPSK" w:hint="cs"/>
          <w:color w:val="000000" w:themeColor="text1"/>
          <w:sz w:val="28"/>
          <w:cs/>
        </w:rPr>
        <w:t>คือ</w:t>
      </w:r>
    </w:p>
    <w:p w:rsidR="009F23B5" w:rsidRPr="003D7CF0" w:rsidRDefault="003D7CF0" w:rsidP="003D7CF0">
      <w:pPr>
        <w:pStyle w:val="NoSpacing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1. 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แบบทดสอบวัดผลสัมฤทธิ์ทางการเรียน วิชาภาษาไทย เรื่องโคลงโลกนิติ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เป็นแบบเลือกตอบชนิด 4 ตัวเลือก ข้อคำถามสอดคล้องกับวัตถุประสงค์และครอบคลุมเนื้อหาของกลุ่มสาระการเรียนรู้ภาษาไทย สาระที่ 5 วรรณคดีและวรรณกรรม ระดับชั้นมัธยมศึกษาปีที่ 1 จำนวน 30 ข้อ ผู้วิจัย</w:t>
      </w:r>
      <w:r>
        <w:rPr>
          <w:rFonts w:ascii="TH SarabunPSK" w:hAnsi="TH SarabunPSK" w:cs="TH SarabunPSK"/>
          <w:color w:val="000000" w:themeColor="text1"/>
          <w:sz w:val="28"/>
          <w:cs/>
        </w:rPr>
        <w:t>ดำเนินการตามขั้นตอน โดย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ศึกษาเอกสาร และงานวิจัยที่เกี่ยวข้องกับการสร้างแบบทดสอบวัดผลสัมฤทธิ์ทางการเรียน การเขียนข้อสอบและเอกสารที่เก</w:t>
      </w:r>
      <w:r w:rsidR="002D0A73">
        <w:rPr>
          <w:rFonts w:ascii="TH SarabunPSK" w:hAnsi="TH SarabunPSK" w:cs="TH SarabunPSK"/>
          <w:color w:val="000000" w:themeColor="text1"/>
          <w:sz w:val="28"/>
          <w:cs/>
        </w:rPr>
        <w:t>ี่ยวข้องกับเนื้อหาโคลงโลกนิติ พร้อมทั้ง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ศึกษาพระราชบัญญัติการศึกษาแห่งชาติ พ.ศ.2542 ศึกษาหลักสูตรแกนกลางการศึกษาขั้นพื้นฐาน พุทธศักราช 2551 กลุ่มสาระการเรียนรู้ภาษาไทย</w:t>
      </w:r>
      <w:r w:rsidR="002D0A73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ระดับชั้นมัธยมศึกษาปีที่ 1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สร้างตารางวิเคราะห์เนื้อหา เรื่อง โคลงโลกนิติ ชั้นมัธยมศึกษาปีที่ 1 เพื่อวิเคราะห์จุดประสงค์การเรียนรู้และเนื้อหาที่ต้องการวัด ตามกรอบแนวคิดการวัดผลสัมฤทธิ์ทางการเรียนของ เบนจมิน เอส บลูม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Benjamin S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Bloom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ซึ่งปรับปรุงใหม่โดย แอนเดอร์สัน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Anderson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และแครทโวล (</w:t>
      </w:r>
      <w:proofErr w:type="spellStart"/>
      <w:r w:rsidR="005156BC" w:rsidRPr="00150275">
        <w:rPr>
          <w:rFonts w:ascii="TH SarabunPSK" w:hAnsi="TH SarabunPSK" w:cs="TH SarabunPSK"/>
          <w:color w:val="000000" w:themeColor="text1"/>
          <w:sz w:val="28"/>
        </w:rPr>
        <w:t>Krathwohl</w:t>
      </w:r>
      <w:proofErr w:type="spellEnd"/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(โสภิตา เสนาะจิต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2560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หน้า 29-31) โดยเรียงตามลำดับขั้นการเกิดพฤติกรรมเป็น 6 ระดับ คือ จำ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Remembering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)เข้าใจ(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Understanding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 ประยุกต์ใช้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Applying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วิเคราะห์ (</w:t>
      </w:r>
      <w:proofErr w:type="spellStart"/>
      <w:r w:rsidR="005156BC" w:rsidRPr="00150275">
        <w:rPr>
          <w:rFonts w:ascii="TH SarabunPSK" w:hAnsi="TH SarabunPSK" w:cs="TH SarabunPSK"/>
          <w:color w:val="000000" w:themeColor="text1"/>
          <w:sz w:val="28"/>
        </w:rPr>
        <w:t>Analysing</w:t>
      </w:r>
      <w:proofErr w:type="spellEnd"/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ประเมินค่า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Evaluating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และการสร้างสรรค์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Creating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ในวิจัยนี้ ผู้วิจัยทำการวัดผลสัมฤทธิ์ทางการเรียนเรื่องโคลงโลกนิติ ด้านพุทธิพิสัย ระดับ 1-4 คือ รู้จำ เข้าใจ ประยุกต์ใช้ การวิเคราะห์ และละเว้นพฤติกรรมระดับ 5 การประเมินค่า และระดับ 6 การสร้างสรรค์ </w:t>
      </w:r>
      <w:r w:rsidR="002D0A7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สร้างแบบทดสอบวัดผลสัมฤทธิ์ทางการเรียน เป็นแบบปรนัยชนิด 4 ตัวเลือก จำนวน 30 ข้อ ให้คะแนนข้อที่ตอบถูกเป็น 1 คะแนน ตอบผิดได้ 0 คะแนน </w:t>
      </w:r>
      <w:r w:rsidR="002D0A73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นำแบบทดสอบวัดผลสัมฤทธิ์ทางการเรียน ไปให้ผู้เชี่ยวชาญตรวจสอบความเที่ยงตรงตามเนื้อหา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Content Validity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จำนวน 3 ท่าน พิจา</w:t>
      </w:r>
      <w:r>
        <w:rPr>
          <w:rFonts w:ascii="TH SarabunPSK" w:hAnsi="TH SarabunPSK" w:cs="TH SarabunPSK"/>
          <w:color w:val="000000" w:themeColor="text1"/>
          <w:sz w:val="28"/>
          <w:cs/>
        </w:rPr>
        <w:t>รณาความสอดคล้องระหว่างข้อคำถาม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กับวัตถุประสงค์การเรียนรู้มาคำนวณหาค่าความเที่ยงตรงเชิงเนื้อหา โดยหาค่าดัชนีความสอดคล้อง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IOC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ของแบบทดสอบเป็นรายข้อ ผู้วิจัยเลือกข้อสอบที่มีค่า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IOC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ตั้งแต่ 0.5 ขึ้นไป ผลการวิเคราะห์พบว่า ค่า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IOC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อยู่ระหว่าง 0.67 - 1 แสดงว่า ผู้เชี่ยวชาญมีความเห็นสอดคล้องกันว่า แบบทดสอบวัดผลสัมฤทธิ์ทางการเรียนมีความเที่ยวตรงเชิงเนื้อหาและสอดคล้องกับจุดประสงค์การเรียนรู้ ผู้วิจัยปรับข้อคำถามที่มี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IOC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เท่ากับ 0.67 </w:t>
      </w:r>
      <w:r w:rsidR="002D0A73">
        <w:rPr>
          <w:rFonts w:ascii="TH SarabunPSK" w:hAnsi="TH SarabunPSK" w:cs="TH SarabunPSK" w:hint="cs"/>
          <w:color w:val="000000" w:themeColor="text1"/>
          <w:sz w:val="28"/>
          <w:cs/>
        </w:rPr>
        <w:t>พร้อม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นำแบบทดสอบวัดผลสัมฤทธิ์ทางการเรียนที่ปรับแก้ไขแล้ว ไปทดลองใช้กับนักเรียน ระดับชั้นมัธยมศึกษาปีที่ 1 โรงเรียนเทศบาลวัดบางนมโค (ปานอุทิศ) ที่ไม่ใช่กลุ่มตัวอย่าง จำนวน 30 คน เป็นนักเรียนที่เรียนเนื้อหานี้แล้ว เพื่อนำคะแนนที่ได้มาวิเคราะห์หาค่าความยากง่าย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p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และค่า อำนาจจำแนก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lastRenderedPageBreak/>
        <w:t>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r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โดยใช้เทคนิค 50% ด้วยการจัดลำดับคะแนนของนักเรียน แล้วแบ่งนักเรียนเป็น 2 กลุ่ม กลุ่มที่ได้คะแนนสูงและกลุ่มที่ได้คะแนนต่ำ 50% ผลการวิเคราะห์พบว่า ได้ค่าความยากง่าย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p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มีค่าระหว่าง 0.50 - 0.77 ค่าอำนาจจำแนก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r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) ค่าอำนา</w:t>
      </w:r>
      <w:r w:rsidR="002D0A73">
        <w:rPr>
          <w:rFonts w:ascii="TH SarabunPSK" w:hAnsi="TH SarabunPSK" w:cs="TH SarabunPSK"/>
          <w:color w:val="000000" w:themeColor="text1"/>
          <w:sz w:val="28"/>
          <w:cs/>
        </w:rPr>
        <w:t>จจำแนกมีค่าระหว่าง  0.27 - 0.73 และ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นำแบบทดสอบวัดผลสัมฤทธิ์ทางการเรียน ไปวิเคราะห์หาค่าความเชื่อมั่นแบบความสอดคล้องภายใน โดยใช้วิธีคูเดอร์ ริชาร์ดสัน (</w:t>
      </w:r>
      <w:proofErr w:type="spellStart"/>
      <w:r w:rsidR="005156BC" w:rsidRPr="00150275">
        <w:rPr>
          <w:rFonts w:ascii="TH SarabunPSK" w:hAnsi="TH SarabunPSK" w:cs="TH SarabunPSK"/>
          <w:color w:val="000000" w:themeColor="text1"/>
          <w:sz w:val="28"/>
        </w:rPr>
        <w:t>kuder</w:t>
      </w:r>
      <w:proofErr w:type="spellEnd"/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 Richardson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ตามสูตร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KR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-20 โดยมีค่าความเชื่อมั่นของแบบทดสอบวัดผลสัมฤทธิ์ทางการเรียนเท่ากับ 0.88 แล้วนำไปใช้จริงกับกลุ่มตัวอย่าง</w:t>
      </w:r>
    </w:p>
    <w:p w:rsidR="00393A8F" w:rsidRDefault="003D7CF0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  </w:t>
      </w:r>
      <w:r w:rsidR="0053045C" w:rsidRPr="003D7CF0">
        <w:rPr>
          <w:rFonts w:ascii="TH SarabunPSK" w:hAnsi="TH SarabunPSK" w:cs="TH SarabunPSK"/>
          <w:sz w:val="28"/>
          <w:cs/>
        </w:rPr>
        <w:t>การเก็บรวบรวมข้อมูล</w:t>
      </w:r>
    </w:p>
    <w:p w:rsid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 xml:space="preserve">ขั้นเตรียมผู้เรียนก่อนการทดลอง แนะนำวิธีการเรียนวิชาภาษาไทย เรื่อง โคลงโลกนิติ ด้วยกิจกรรมการเรียนรู้ 7 ขั้น ตามรูปแบบซิปปา การทำใบงาน ในแต่ละแผนการจัดการเรียนรู้ และวิธีการทำแบบทดสอบวัดผลสัมฤทธิ์ทางการเรียน  </w:t>
      </w:r>
    </w:p>
    <w:p w:rsid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>ขั้นดำเนินการทดลอง ทำการทดสอบก่อนการทดลอง และดำเนินการจัดการเรียนรู้ โดยใช้แผนการจัดการเรียนรู้และกิจกรรมการเรียนรู้ตามรูปแบบซิปปา จำนวน 4 แผน ระหว่างดำเนินกิจกรรมการเรียนรู้ เก็บคะแนนจากทำใบงานและระหว่างเรียนในแต่ละแผนการจัดการเรียนรู้  คะแนนทีได้จากกระบวนการเรียน มาคำนวณหาค่าร้อยละของคะแนนเฉลี่ยจากการทำแบบทดสอบระหว่างเรียน เพื่อนำไปเปรียบเทียบกับเกณฑ์มาตรฐาน 80 ตัวแรก (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 xml:space="preserve">1)  </w:t>
      </w:r>
      <w:r>
        <w:rPr>
          <w:rFonts w:ascii="TH SarabunPSK" w:hAnsi="TH SarabunPSK" w:cs="TH SarabunPSK"/>
          <w:sz w:val="28"/>
        </w:rPr>
        <w:tab/>
      </w:r>
    </w:p>
    <w:p w:rsidR="00975E38" w:rsidRP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>ขั้นดำเนินการหลังการทดลอง ทำการทดสอบวัดผลสัมฤทธิ์ทางการเรียน วิชาภาษาไทยเรื่อง โคลงโลกนิติ กับนักเรียนชั้นมัธยมศึกษาปีที่ 1 หลังเรียนด้วยกิจกรรมการเรียนรู้ตามรูปแบบซิปปา นำคะแนนจากการทำแบบทดสอบวัดผลสัมฤทธิ์ทางการเรียน มาคำนวณหาค่าร้อยละของคะแนนเฉลี่ยจากการทำแบบทดสอบวัดผลสัมฤทธิ์ทางการเรียน เพื่อนำไปเปรียบเทียบกับมาตรฐาน 80 ตัวหลัง (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>2)  และนำคะแนนผลสัมฤทธิ์ทางการเรียน ก่อนเรียนและหลังเรียนด้วยกิจกรรมการเรียนรู้ตามรูปแบบซิปปา วิชาภาษาไทย เรื่องโคลงโลกนิติ ของนักเรียนชั้นมัธยมศึกษาปีที่ 1 มาทำการวิเคราะห์ข้อมูลเพื่อทดสอบสมมติฐาน</w:t>
      </w:r>
    </w:p>
    <w:p w:rsid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  <w:t>4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.  </w:t>
      </w:r>
      <w:r w:rsidR="005156BC" w:rsidRPr="00393A8F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และสถิติที่ใช้</w:t>
      </w:r>
    </w:p>
    <w:p w:rsid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 xml:space="preserve">1. หาประสิทธิภาพของการจัดกิจกรรมการเรียนรู้ตามรูปแบบซิปปา วิชาภาษาไทย เรื่อง โคลงโลกนิติ สำหรับนักเรียนชั้นมัธยมศึกษาปีที่ 1 ตามเกณฑ์ประสิทธิภาพ 80/80 โดยใช้สูตร 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>1/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 xml:space="preserve">2 </w:t>
      </w:r>
    </w:p>
    <w:p w:rsidR="00975E38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 xml:space="preserve">2. วิเคราะห์เปรียบเทียบผลสัมฤทธิ์ทางการเรียน ก่อนและหลังเรียนด้วยกิจกรรมการจัดการเรียนรู้ตามรูปแบบซิปปา วิชาภาษาไทย เรื่อง โคลงโลกนิติ ของนักเรียนชั้นมัธยมศึกษาปีที่ 1 โดยการทดสอบค่า </w:t>
      </w:r>
      <w:r w:rsidR="005156BC" w:rsidRPr="00975E38">
        <w:rPr>
          <w:rFonts w:ascii="TH SarabunPSK" w:hAnsi="TH SarabunPSK" w:cs="TH SarabunPSK"/>
          <w:sz w:val="28"/>
        </w:rPr>
        <w:t>t</w:t>
      </w:r>
      <w:r w:rsidR="005156BC" w:rsidRPr="00975E38">
        <w:rPr>
          <w:rFonts w:ascii="TH SarabunPSK" w:hAnsi="TH SarabunPSK" w:cs="TH SarabunPSK"/>
          <w:sz w:val="28"/>
          <w:cs/>
        </w:rPr>
        <w:t>-</w:t>
      </w:r>
      <w:r w:rsidR="005156BC" w:rsidRPr="00975E38">
        <w:rPr>
          <w:rFonts w:ascii="TH SarabunPSK" w:hAnsi="TH SarabunPSK" w:cs="TH SarabunPSK"/>
          <w:sz w:val="28"/>
        </w:rPr>
        <w:t>test</w:t>
      </w:r>
      <w:r w:rsidR="00EE3E8D">
        <w:rPr>
          <w:rFonts w:ascii="TH SarabunPSK" w:hAnsi="TH SarabunPSK" w:cs="TH SarabunPSK"/>
          <w:sz w:val="28"/>
        </w:rPr>
        <w:t xml:space="preserve"> for dependent </w:t>
      </w:r>
      <w:proofErr w:type="spellStart"/>
      <w:r w:rsidR="00EE3E8D">
        <w:rPr>
          <w:rFonts w:ascii="TH SarabunPSK" w:hAnsi="TH SarabunPSK" w:cs="TH SarabunPSK"/>
          <w:sz w:val="28"/>
        </w:rPr>
        <w:t>samsamples</w:t>
      </w:r>
      <w:proofErr w:type="spellEnd"/>
    </w:p>
    <w:p w:rsidR="00393A8F" w:rsidRPr="00393A8F" w:rsidRDefault="00393A8F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975E38" w:rsidRDefault="005156BC" w:rsidP="00B4628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F701A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ผลการ</w:t>
      </w:r>
      <w:r w:rsidR="00393A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วิจัย</w:t>
      </w:r>
    </w:p>
    <w:p w:rsidR="00975E38" w:rsidRPr="00975E38" w:rsidRDefault="00975E38" w:rsidP="00E610EF">
      <w:pPr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>1. การจัดกิจกรรมการจัดการเรียนรู้ตามรูปแบบซิปปา วิชาภาษาไทย เรื่อง โคลงโลกนิติ ระดับชั้นมัธยมศึกษาปีที 1 มีประสิทธิภาพตามเกณฑ์ (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 xml:space="preserve">1/ </w:t>
      </w:r>
      <w:r w:rsidR="005156BC" w:rsidRPr="00975E38">
        <w:rPr>
          <w:rFonts w:ascii="TH SarabunPSK" w:hAnsi="TH SarabunPSK" w:cs="TH SarabunPSK"/>
          <w:sz w:val="28"/>
        </w:rPr>
        <w:t>E</w:t>
      </w:r>
      <w:r w:rsidR="005156BC" w:rsidRPr="00975E38">
        <w:rPr>
          <w:rFonts w:ascii="TH SarabunPSK" w:hAnsi="TH SarabunPSK" w:cs="TH SarabunPSK"/>
          <w:sz w:val="28"/>
          <w:cs/>
        </w:rPr>
        <w:t>2) เท่ากับ 87.75/84.44</w:t>
      </w:r>
    </w:p>
    <w:p w:rsidR="00975E38" w:rsidRDefault="00975E38" w:rsidP="00E610E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75E38">
        <w:rPr>
          <w:rFonts w:ascii="TH SarabunPSK" w:hAnsi="TH SarabunPSK" w:cs="TH SarabunPSK"/>
          <w:sz w:val="28"/>
          <w:cs/>
        </w:rPr>
        <w:tab/>
      </w:r>
      <w:r w:rsidR="005156BC" w:rsidRPr="00975E38">
        <w:rPr>
          <w:rFonts w:ascii="TH SarabunPSK" w:hAnsi="TH SarabunPSK" w:cs="TH SarabunPSK"/>
          <w:sz w:val="28"/>
          <w:cs/>
        </w:rPr>
        <w:t xml:space="preserve">2. ผลสัมฤทธิ์ทางการเรียนวิชาภาษาไทย เรื่องโคลงโลกนิติ ของนักเรียนชั้นมัธยมศึกษาปีที 1 </w:t>
      </w:r>
      <w:r w:rsidR="00A0532E">
        <w:rPr>
          <w:rFonts w:ascii="TH SarabunPSK" w:hAnsi="TH SarabunPSK" w:cs="TH SarabunPSK" w:hint="cs"/>
          <w:sz w:val="28"/>
          <w:cs/>
        </w:rPr>
        <w:t>คะแนนก่อนเรียนโดยภาพรวมคิดเป็นร้อยละ 76.78 คะแนนผลสัมฤทธิ์ทางการเรียนหลังเรียนด้วยกิจกรรมการเรียนรู้ตาม</w:t>
      </w:r>
      <w:r w:rsidR="00A0532E">
        <w:rPr>
          <w:rFonts w:ascii="TH SarabunPSK" w:hAnsi="TH SarabunPSK" w:cs="TH SarabunPSK" w:hint="cs"/>
          <w:sz w:val="28"/>
          <w:cs/>
        </w:rPr>
        <w:lastRenderedPageBreak/>
        <w:t>รูปแบบซิปปา โดยภาพรวมคิดเป็นร้อยละ 84.44 และพบว่าผลสัมฤทธิ์ทางการเรียนหลังเรียนสูงกว่าก่อนเรียน</w:t>
      </w:r>
      <w:r w:rsidR="005156BC" w:rsidRPr="00975E38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.01 ผลปรากฏตามตารางต่อไปนี้</w:t>
      </w:r>
    </w:p>
    <w:p w:rsidR="005156BC" w:rsidRPr="00975E38" w:rsidRDefault="00975E38" w:rsidP="00E610E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ผลการวิเคราะห์เปรียบเทียบผลสัมฤทธิ์ทางการเรียนวิชาภาษาไทย เรื่อง โคลงโลกนิติ ของนักเรียนชั้นมัธยมศึกษาปีที่ 1 โรงเรียนเทศบาลวัดบางนมโค (ปานอุทิศ) ก่อนและหลังเรียนด้วยกิจกรรมการเรียนรู้ตามรูปแบบซิปปา</w:t>
      </w:r>
    </w:p>
    <w:tbl>
      <w:tblPr>
        <w:tblStyle w:val="TableGrid1"/>
        <w:tblpPr w:leftFromText="180" w:rightFromText="180" w:vertAnchor="text" w:horzAnchor="margin" w:tblpY="250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51"/>
        <w:gridCol w:w="863"/>
        <w:gridCol w:w="1134"/>
        <w:gridCol w:w="1264"/>
        <w:gridCol w:w="1560"/>
      </w:tblGrid>
      <w:tr w:rsidR="0053045C" w:rsidRPr="0053045C" w:rsidTr="0053045C">
        <w:tc>
          <w:tcPr>
            <w:tcW w:w="2692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3045C">
              <w:rPr>
                <w:b/>
                <w:bCs/>
                <w:sz w:val="28"/>
                <w:szCs w:val="28"/>
                <w:cs/>
              </w:rPr>
              <w:t>ผลสัมฤทธิ์ทางการเรียน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53045C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n</w:t>
            </w:r>
          </w:p>
        </w:tc>
        <w:tc>
          <w:tcPr>
            <w:tcW w:w="863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A14614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b/>
                <w:bCs/>
                <w:i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3045C">
              <w:rPr>
                <w:b/>
                <w:bCs/>
                <w:sz w:val="28"/>
                <w:szCs w:val="28"/>
              </w:rPr>
              <w:t>S</w:t>
            </w:r>
            <w:r w:rsidRPr="0053045C">
              <w:rPr>
                <w:b/>
                <w:bCs/>
                <w:sz w:val="28"/>
                <w:szCs w:val="28"/>
                <w:cs/>
              </w:rPr>
              <w:t>.</w:t>
            </w:r>
            <w:r w:rsidRPr="0053045C">
              <w:rPr>
                <w:b/>
                <w:bCs/>
                <w:sz w:val="28"/>
                <w:szCs w:val="28"/>
              </w:rPr>
              <w:t>D</w:t>
            </w:r>
            <w:r w:rsidRPr="0053045C">
              <w:rPr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3045C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3045C">
              <w:rPr>
                <w:b/>
                <w:bCs/>
                <w:sz w:val="28"/>
                <w:szCs w:val="28"/>
              </w:rPr>
              <w:t>p</w:t>
            </w:r>
            <w:r w:rsidRPr="0053045C">
              <w:rPr>
                <w:b/>
                <w:bCs/>
                <w:sz w:val="28"/>
                <w:szCs w:val="28"/>
                <w:cs/>
              </w:rPr>
              <w:t>-</w:t>
            </w:r>
            <w:r w:rsidRPr="0053045C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53045C" w:rsidRPr="0053045C" w:rsidTr="00B3732B">
        <w:tc>
          <w:tcPr>
            <w:tcW w:w="2692" w:type="dxa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  <w:cs/>
              </w:rPr>
            </w:pPr>
            <w:r w:rsidRPr="0053045C">
              <w:rPr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  <w:cs/>
              </w:rPr>
              <w:t>3</w:t>
            </w:r>
            <w:r w:rsidRPr="0053045C"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</w:rPr>
              <w:t>23</w:t>
            </w:r>
            <w:r w:rsidRPr="0053045C">
              <w:rPr>
                <w:sz w:val="28"/>
                <w:szCs w:val="28"/>
                <w:cs/>
              </w:rPr>
              <w:t>.</w:t>
            </w:r>
            <w:r w:rsidRPr="0053045C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</w:rPr>
              <w:t>1</w:t>
            </w:r>
            <w:r w:rsidRPr="0053045C">
              <w:rPr>
                <w:sz w:val="28"/>
                <w:szCs w:val="28"/>
                <w:cs/>
              </w:rPr>
              <w:t>.</w:t>
            </w:r>
            <w:r w:rsidRPr="0053045C">
              <w:rPr>
                <w:sz w:val="28"/>
                <w:szCs w:val="28"/>
              </w:rPr>
              <w:t>77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before="240"/>
              <w:jc w:val="center"/>
              <w:rPr>
                <w:sz w:val="28"/>
                <w:szCs w:val="28"/>
                <w:vertAlign w:val="superscript"/>
              </w:rPr>
            </w:pPr>
            <w:r w:rsidRPr="0053045C">
              <w:rPr>
                <w:sz w:val="28"/>
                <w:szCs w:val="28"/>
              </w:rPr>
              <w:t>17</w:t>
            </w:r>
            <w:r w:rsidRPr="0053045C">
              <w:rPr>
                <w:sz w:val="28"/>
                <w:szCs w:val="28"/>
                <w:cs/>
              </w:rPr>
              <w:t>.</w:t>
            </w:r>
            <w:r w:rsidRPr="0053045C">
              <w:rPr>
                <w:sz w:val="28"/>
                <w:szCs w:val="28"/>
              </w:rPr>
              <w:t>94</w:t>
            </w:r>
            <w:r w:rsidRPr="0053045C">
              <w:rPr>
                <w:sz w:val="28"/>
                <w:szCs w:val="28"/>
                <w:vertAlign w:val="superscript"/>
                <w:cs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before="240"/>
              <w:jc w:val="center"/>
              <w:rPr>
                <w:sz w:val="28"/>
                <w:szCs w:val="28"/>
                <w:cs/>
              </w:rPr>
            </w:pPr>
            <w:r w:rsidRPr="0053045C">
              <w:rPr>
                <w:sz w:val="28"/>
                <w:szCs w:val="28"/>
                <w:cs/>
              </w:rPr>
              <w:t>.000</w:t>
            </w:r>
          </w:p>
        </w:tc>
      </w:tr>
      <w:tr w:rsidR="0053045C" w:rsidRPr="0053045C" w:rsidTr="00B3732B">
        <w:trPr>
          <w:trHeight w:val="225"/>
        </w:trPr>
        <w:tc>
          <w:tcPr>
            <w:tcW w:w="2692" w:type="dxa"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color w:val="FF0000"/>
                <w:sz w:val="28"/>
                <w:szCs w:val="28"/>
              </w:rPr>
            </w:pPr>
            <w:r w:rsidRPr="0053045C">
              <w:rPr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  <w:cs/>
              </w:rPr>
              <w:t>3</w:t>
            </w:r>
            <w:r w:rsidRPr="0053045C"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</w:rPr>
              <w:t>25</w:t>
            </w:r>
            <w:r w:rsidRPr="0053045C">
              <w:rPr>
                <w:sz w:val="28"/>
                <w:szCs w:val="28"/>
                <w:cs/>
              </w:rPr>
              <w:t>.</w:t>
            </w:r>
            <w:r w:rsidRPr="0053045C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</w:rPr>
              <w:t>1</w:t>
            </w:r>
            <w:r w:rsidRPr="0053045C">
              <w:rPr>
                <w:sz w:val="28"/>
                <w:szCs w:val="28"/>
                <w:cs/>
              </w:rPr>
              <w:t>.</w:t>
            </w:r>
            <w:r w:rsidRPr="0053045C">
              <w:rPr>
                <w:sz w:val="28"/>
                <w:szCs w:val="28"/>
              </w:rPr>
              <w:t>47</w:t>
            </w: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</w:p>
        </w:tc>
      </w:tr>
      <w:tr w:rsidR="0053045C" w:rsidRPr="0053045C" w:rsidTr="00B3732B">
        <w:trPr>
          <w:trHeight w:val="438"/>
        </w:trPr>
        <w:tc>
          <w:tcPr>
            <w:tcW w:w="4406" w:type="dxa"/>
            <w:gridSpan w:val="3"/>
            <w:tcBorders>
              <w:top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045C">
              <w:rPr>
                <w:sz w:val="28"/>
                <w:szCs w:val="28"/>
                <w:vertAlign w:val="superscript"/>
                <w:cs/>
              </w:rPr>
              <w:t xml:space="preserve"> **</w:t>
            </w:r>
            <w:r w:rsidRPr="0053045C">
              <w:rPr>
                <w:sz w:val="28"/>
                <w:szCs w:val="28"/>
                <w:cs/>
              </w:rPr>
              <w:t xml:space="preserve"> มีนัยสำคัญทางสถิติที่ระดับ .</w:t>
            </w:r>
            <w:r w:rsidRPr="0053045C">
              <w:rPr>
                <w:sz w:val="28"/>
                <w:szCs w:val="28"/>
              </w:rPr>
              <w:t>0</w:t>
            </w:r>
            <w:r w:rsidRPr="0053045C">
              <w:rPr>
                <w:sz w:val="28"/>
                <w:szCs w:val="28"/>
                <w:cs/>
              </w:rPr>
              <w:t>1</w:t>
            </w:r>
          </w:p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3045C" w:rsidRPr="0053045C" w:rsidRDefault="0053045C" w:rsidP="00933225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46B99" w:rsidRDefault="00BF11B6" w:rsidP="00975E38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จากตาราง พบว่า ผลคะแนนก่อนเรียนและผลสัมฤทธิ์ทางการเรียน วิชาภาษาไทย เรื่อง โคลงโลกนิติ หลังเรียนด้วยกิจกรรมการเรียนรู้ตามรูปแบบซิปปา โดยการทดสอบค่า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t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มีค่า 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p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 xml:space="preserve">value 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>เท่ากับ .000 ซึ่งน้อยกว่า .01 จึงปฏิเสธสมมติฐานหลัก (</w:t>
      </w:r>
      <w:r w:rsidR="005156BC" w:rsidRPr="00150275">
        <w:rPr>
          <w:rFonts w:ascii="TH SarabunPSK" w:hAnsi="TH SarabunPSK" w:cs="TH SarabunPSK"/>
          <w:color w:val="000000" w:themeColor="text1"/>
          <w:sz w:val="28"/>
        </w:rPr>
        <w:t>H</w:t>
      </w:r>
      <w:r w:rsidR="00933225">
        <w:rPr>
          <w:rFonts w:ascii="TH SarabunPSK" w:hAnsi="TH SarabunPSK" w:cs="TH SarabunPSK" w:hint="cs"/>
          <w:color w:val="000000" w:themeColor="text1"/>
          <w:sz w:val="28"/>
          <w:vertAlign w:val="subscript"/>
          <w:cs/>
        </w:rPr>
        <w:t>0</w:t>
      </w:r>
      <w:r w:rsidR="005156BC"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หมายความว่า ผลสัมฤทธิ์ทางการเรียน วิชาภาษาไทย เรื่อง โคลงโลกนิติ ของนักเรียนชั้นมัธยมศึกษาปีที่ 1 ที่ได้รับการจัดกิจกรรมการเรียนรู้ตามรูปแบบซิปปา หลังเรียนสูงกว่าก่อนเรียนอย่างมีนัยสำคัญทางสถิติที่ระดับ .01 โดยคะแนนเฉลี่ยก่อนเรียนมีค่า เท่ากับ 23.03 ส่วนเบี่ยงเบนมาตรฐาน เท่ากับ 1.77 ส่วนคะแนนเฉลี่ยผลสัมฤทธิ์ทางการเรียนหลังเรียน มีค่าเท่ากับ 25.33 ส่วนเบี่ยงเบนมาตรฐาน เท่ากับ 1.47   </w:t>
      </w:r>
    </w:p>
    <w:p w:rsidR="00975E38" w:rsidRDefault="00975E38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A46B99" w:rsidRPr="00A46B99" w:rsidRDefault="00393A8F" w:rsidP="00975E38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สรุปและ</w:t>
      </w:r>
      <w:r w:rsidR="005156BC" w:rsidRPr="00F701A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อภิปรายผล</w:t>
      </w:r>
    </w:p>
    <w:p w:rsidR="00A46B99" w:rsidRDefault="005156BC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จากการวิจัยครั้งนี้ มีข้อค้นพบที่น่าสนใจเกี่ยวกับประสิทธิภาพของกิจกรรมการเรียนรู้ตามรูปแบบซิปปา วิชาภาษาไทย เรื่อง โคลงโลกนิติ ระดับชั้นมัธยมศึกษาปีที่ การเปรียบเทียบผลสัมฤทธิ์ทางการเรียน วิชาภาษาไทย เรื่อง โคลงโลกนิติ ของนักเรียนชั้นมัธยมศึกษาปีที่ 1 ก่อนเรียนกับหลังเรียนด้วยกิจกรรมการเรียนรู้ตามรูปแบบ</w:t>
      </w:r>
      <w:r w:rsidR="00393A8F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ซิปปา  ซึ่งนำมาอภิปรายผลดังนี้</w:t>
      </w:r>
    </w:p>
    <w:p w:rsidR="00A46B99" w:rsidRDefault="005156BC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1. การจัดกิจกรรมการเรียนรู้ตามรูปแบบซิปปา วิชาภาษาไทย เรื่อง โคลงโลกนิติ ระดับชั้นมัธยมศึกษาปีที่ 1 ที่ผู้วิจัยพัฒนาขึ้น มีประสิทธิภาพ (</w:t>
      </w:r>
      <w:r w:rsidRPr="00150275">
        <w:rPr>
          <w:rFonts w:ascii="TH SarabunPSK" w:hAnsi="TH SarabunPSK" w:cs="TH SarabunPSK"/>
          <w:color w:val="000000" w:themeColor="text1"/>
          <w:sz w:val="28"/>
        </w:rPr>
        <w:t>E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1/ </w:t>
      </w:r>
      <w:r w:rsidRPr="00150275">
        <w:rPr>
          <w:rFonts w:ascii="TH SarabunPSK" w:hAnsi="TH SarabunPSK" w:cs="TH SarabunPSK"/>
          <w:color w:val="000000" w:themeColor="text1"/>
          <w:sz w:val="28"/>
        </w:rPr>
        <w:t>E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2) เท่ากับ 87.75/84.44 เป็นไปตามเกณฑ์ที่กำหนดไว้ ที่เป็นดังนี้อาจเป็นเพราะการออกแบบจัดการเรียนรู้โดยอิงตามรูปแบบซิปปา ซึ่งประกอบด้วย 7 ขั้นตอน มีกระบวนการเรียนรู้ที่เน้นผู้เรียนเป็นศูนย์กลาง เป็นการจัดการเรียนการสอนตามแนวทฤษฎีพุทธินิยม (</w:t>
      </w:r>
      <w:r w:rsidRPr="00150275">
        <w:rPr>
          <w:rFonts w:ascii="TH SarabunPSK" w:hAnsi="TH SarabunPSK" w:cs="TH SarabunPSK"/>
          <w:color w:val="000000" w:themeColor="text1"/>
          <w:sz w:val="28"/>
        </w:rPr>
        <w:t>Cognitive theories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) ที่เชื่อว่าการเรียนรู้เป็นสิ่งที่เกิดขึ้นในสมอง เกิดจากกระบวนการกระทำกับข้อมูล มีการดึงความรู้หรือข้อมูลเดิมที่มีอยู่ในตัวออกมาใช้ วิธีเรียนรู้มีผลต่อการจำ การลืม และการถ่ายโยงความรู้ ซึ่งส่งผลโดยตรงต่อรูปแบบการเรียนรู้ซึ่งมีองค์ประกอบที่สำคัญ คือ ความรู้เดิมที่ผู้เรียนมีอยู่ ความรู้ใหม่ที่ผู้เรียนได้รับเป็นข้อมูล ความรู้ ความรู้สึกและประสบการณ์ และกระบวนการทางสติปัญญาที่ผู้เรียนใช้ทำความเข้าใจกับความรู้ใหม่ และเชื่อมโยงความรู้เดิมกับความรู้ใหม่เข้าด้วยกันซึ่งเป็นการจัดกิจกรรมการเรียนรู้ที่สมบูรณ์แบบ ประกอบด้วย ครูผู้สอนที่จะออกแบบการจัดกิจกรรมการเรียนรู้ตามรูปแบบซิปปา ควรมีความเชื่อว่านักเรียนทุกคนสามารถเรียนรู้ได้และพัฒนาตนเองได้ ผู้สอน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ไม่จำเป็นต้องบอกความรู้หรือยัดเยียดเนื้อหาสาระแบบเดิมจากการใช้กิจกรรมการเรียนรู้ตามรูปแบบซิปปาซึ่งเน้นใช้กระบวนการแลกเปลี่ยนความรู้และกลุ่มในการเรียนรู้ร่วมกันที่หลากหลายความคิดทั้งจากใบความรู้ที่มีเนื้อหาที่หลากหลาย เช่น ฉันทลักษณ์โคลงสี่สุภาพ ที่มาของโคลงโลกนิติ การอ่านทำนองเสนาะโคลงโลกนิติ การจับใจความโคลงโลกนิติ คุณค่าและอรรถรสในด้านวรรณศิลป์ และข้อคิดจากโคลงโลกนิติที่ให้คุณค่า ข้อคิดไปปรับใช้ในชีวิตจริงได้และทำแบบฝึกหัดจากใบงานด้วยกัน ส่งผลให้คะแนนจากการทำใบงานเป็นกลุ่มอยู่ในระดับสูงและมีคะแนนใกล้เคียงกัน ได้ร่วมกันทำกิจกรรมต่าง ๆ ซึ่งเป็นกระบวนการฝึกให้นักเรียนมีความรับผิดชอบในการทำงานมากขึ้น มีความกล้าแสดงออกเพื่อเป็นแบบอย่างให้กับนักเรียนคนอื่น ๆ และเป็นแรงกระตุ้นให้นักเรียนมีคะแนนสูงขึ้นตามลำดับ</w:t>
      </w:r>
    </w:p>
    <w:p w:rsidR="003656B2" w:rsidRDefault="005156BC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="003656B2" w:rsidRPr="003656B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ผลการเปรียบเทียบผลสัมฤทธิ์ทางการเรียนวิชาภาษาไทย เรื่อง โคลงโลกนิติ ของ นักเรียนชั้นมัธยมศึกษาปีที่ 1 คะแนนก่อนเรียนโดยภาพรวมคิดเป็นร้อยละ 76.78 คะแนนผลสัมฤทธิ์ทางการเรียนหลังเรียนด้วยกิจกรรมการเรียนรู้ตามรูปแบบซิปปา โดยภาพรวมคิดเป็นร้อยละ 84.44 และพบว่า </w:t>
      </w:r>
      <w:r w:rsidR="003656B2">
        <w:rPr>
          <w:rFonts w:ascii="TH SarabunPSK" w:hAnsi="TH SarabunPSK" w:cs="TH SarabunPSK" w:hint="cs"/>
          <w:color w:val="000000" w:themeColor="text1"/>
          <w:sz w:val="28"/>
          <w:cs/>
        </w:rPr>
        <w:t>ผลสัมฤทธิ์ทางการเรียน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หลังเรียนสูงกว่าก่อนเรียนอย่างมีนัยสำคัญทางสถิติที่ระดับ .01 แสดงให้เห็นว่า  หลังจากเรียนครบทั้ง 4 แผนการจัดการเรียนรู้แล้ว นักเรียนส่วนใหญ่มีความรู้ความเข้าและมีทักษะการคิดวิเคราะห์ ซึ่งเป็นไปตามจุดประสงค์การเรียนรู้ที่ระบุไว้ในแผนการจัดการเรียนรู้ ที่เป็นดังนี้เป็นเพราะกระบวนการจัดการเรียนรู้ตามรูปแบบซิปปา ได้กำหนดสาระสำคัญครอบคลุมสาระการเรียนรู้ที่กำหนดไว้ในหลักสูตสถานศึกษา มีสื่อการเรียนรู้ ใบงานฝึกทักษะการคิด และแบบทดสอบวัดทักษะการคิดวิเคราะห์ที่สามารถดึงความรู้เดิมของนักเรียนแต่ละคนซึ่งมีความแตกต่างและไม่เท่าเทียมกัน และถ่ายโยงต่อยอดความรู้ใหม่หรือข้อมูลใหม่ด้วยการอภิปรายแลกเปลี่ยนเรียนรู้ซึ่งกันและกัน ทำให้นักเรียนได้สำรวจตรวจสอบความรู้ความคิดและความรู้สึกของตนเอง และยอมรับความรู้ใหม่ที่หลากหลายสามารถนำไปใช้ในชีวิตจริงได้ การได้แสวงหาความรู้และสร้างองค์ความรู้ด้วยตนเอง ได้ตรวจสอบสอบความรู้และวิเคราะห์กระบวนการเรียนรู้ของตนเอง ตามกระบวนการเรียนตามรูปแบบซิปปานี้ ถือได้เป็นการจัดกิจกรรมการเรียนรู้ที่เน้นผู้เรียนเป็นสำคัญ เป็นการเรียนรู้จากการลงมือปฏิบัติ (</w:t>
      </w:r>
      <w:r w:rsidRPr="00150275">
        <w:rPr>
          <w:rFonts w:ascii="TH SarabunPSK" w:hAnsi="TH SarabunPSK" w:cs="TH SarabunPSK"/>
          <w:color w:val="000000" w:themeColor="text1"/>
          <w:sz w:val="28"/>
        </w:rPr>
        <w:t>active learning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ซึ่งเป็นมาจากการใช้กระบวนการทางสติปัญญาในการวิเคราะห์ ไตร่ตรอง สะท้อนย้อนทาน และหาเหตุผลของคำตอบที่ถูกต้อง สอดคล้องกับงานวิจัยของ ปานเทพ สามลปาน. (2558) การเปรียบเทียบผลสัมฤทธิ์ทางการเรียนวิชาภาษาไทย เรื่องการสร้างคำในภาษาไทย ของนักเรียนชั้นมัธยมศึกษาปีที่ 5 ที่สอนด้วยการจัดการเรียนรู้แบบร่วมมือ เทคนิค 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STAD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กับการจัดการเรียนรู้แบบซิปปาโมเดล ผลการวิจัยพบว่า ผลสัมฤทธิ์ทางการเรียนวิชาภาษาไทยเรื่องการสร้างคำในภาษาไทย ที่สอนด้วยการจัดการเรียนรู้แบบซิปปา โมเดล (</w:t>
      </w:r>
      <w:r w:rsidRPr="00150275">
        <w:rPr>
          <w:rFonts w:ascii="TH SarabunPSK" w:hAnsi="TH SarabunPSK" w:cs="TH SarabunPSK"/>
          <w:color w:val="000000" w:themeColor="text1"/>
          <w:sz w:val="28"/>
        </w:rPr>
        <w:t>CIPPA MODEL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) หลังเรียนสูงกว่าก่อนเรียน อย่างมีนัยสำคัญทางสถิติที่ระดับ .01 สอดคล้องกับงานวิจัยของ สุธีธิดา บรรณารักษ์. (2555) เรื่องการเปรียบเทียบผลสัมฤทธิ์ทางการเรียน การคิดสังเคราะห์ และเจตคติต่อวิชาภาษาไทย เรื่อง อลังการภาพพจน์บทพากย์เอราวัณ ของนักเรียน ชั้นมัธยมศึกษาปีที่ 3 ที่จัดการเรียนรู้แบบ 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CIPPA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กับการจัดการเรียนรู้ แบบ 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KWL PLUS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ผลการวิจัยพบว่า นักเรียนที่เรียนด้วยการจัดการเรียนรู้แบบ 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CIPPA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และนักเรียนที่เรียนด้วยการจัดการ เรียนรู้แบบ </w:t>
      </w:r>
      <w:r w:rsidRPr="00150275">
        <w:rPr>
          <w:rFonts w:ascii="TH SarabunPSK" w:hAnsi="TH SarabunPSK" w:cs="TH SarabunPSK"/>
          <w:color w:val="000000" w:themeColor="text1"/>
          <w:sz w:val="28"/>
        </w:rPr>
        <w:t xml:space="preserve">KWL PLUS </w:t>
      </w:r>
      <w:r w:rsidRPr="00150275">
        <w:rPr>
          <w:rFonts w:ascii="TH SarabunPSK" w:hAnsi="TH SarabunPSK" w:cs="TH SarabunPSK"/>
          <w:color w:val="000000" w:themeColor="text1"/>
          <w:sz w:val="28"/>
          <w:cs/>
        </w:rPr>
        <w:t>มีผลสัมฤทธิ์ทางการเรียนหลังเรียนสูงกว่าก่อนเรียน อย่างมีนัยสําคัญทางสถิติ ที่ระดับ .01</w:t>
      </w:r>
    </w:p>
    <w:p w:rsidR="00933225" w:rsidRPr="00A46B99" w:rsidRDefault="005156BC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</w:p>
    <w:p w:rsidR="00A0532E" w:rsidRDefault="00A0532E" w:rsidP="00A46B99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1418"/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:rsidR="00393A8F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701AD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ข้อเสนอแนะ</w:t>
      </w:r>
    </w:p>
    <w:p w:rsidR="00393A8F" w:rsidRDefault="005156BC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1.  ควรมีการนำรูปแบบการจัดการเรียนรู้รูปแบบซิปปาไปใช้ประกอบการจัดการเรียนการสอนภาษาไทยเรื่องอื่น ๆ อีก เพราะจะทำให้ผู้เรียนเกิดความรู้ที่คงทนและผู้เรียนสามารถนำไปใช้ประโยชน์ได้</w:t>
      </w:r>
    </w:p>
    <w:p w:rsidR="005156BC" w:rsidRPr="00393A8F" w:rsidRDefault="005156BC" w:rsidP="00E610EF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50275">
        <w:rPr>
          <w:rFonts w:ascii="TH SarabunPSK" w:hAnsi="TH SarabunPSK" w:cs="TH SarabunPSK"/>
          <w:color w:val="000000" w:themeColor="text1"/>
          <w:sz w:val="28"/>
          <w:cs/>
        </w:rPr>
        <w:t>2.  ควรส่งเสริมให้นักเรียนกล้าคิด กล้าแสดงออกอย่างเหมาะสม โดยออกแบบกิจกรรมที่สามารถกระตุ้นและให้การเสริมแรง ตลอดจนให้คำแนะนำอย่างใกล้ชิด เพื่อกระตุ้นให้นักเรียนแสดงความคิดเห็นและแลกเปลี่ยนความรู้ซึ่งกันและกัน</w:t>
      </w:r>
    </w:p>
    <w:p w:rsidR="002052EC" w:rsidRDefault="002052E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ind w:firstLine="141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2052EC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701A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เอกสารอ้างอิง</w:t>
      </w:r>
    </w:p>
    <w:p w:rsidR="002052EC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กระทรวงศึกษาธิการ. (2551).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หลักสูตรแกนกลางการศึกษาขั้นพื้นฐาน พุทธศักราช 2551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 กรุงเทพฯ : ชุมชุน</w:t>
      </w:r>
      <w:r w:rsidR="002052EC"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สหกรณ์การเกษตรแห่งประเทศไทย.</w:t>
      </w:r>
    </w:p>
    <w:p w:rsidR="002052EC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ดวงใจ ไทยอุบุญ. (2556).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ทักษะการเขียนภาษาไทย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 (พิมพ์ครั้งที่ 8). กรุงเทพฯ: สำนักพิมพ์แห่งจุฬาลงกรณ์</w:t>
      </w:r>
      <w:r w:rsidR="002052EC"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มหาวิทยาลัย.</w:t>
      </w:r>
      <w:bookmarkStart w:id="0" w:name="_GoBack"/>
      <w:bookmarkEnd w:id="0"/>
    </w:p>
    <w:p w:rsidR="002052EC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ทิศนา แขมมณี. (2556).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รูปแบบการเรียนการสอนทางเลือกที่หลากลาย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 (พิมพ์ครั้งที่ 8). กรุงเทพฯ: สำนักพิมพ์</w:t>
      </w:r>
      <w:r w:rsidR="002052EC"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จุฬาลงกรณ์มหาวิทยาลัย.</w:t>
      </w:r>
    </w:p>
    <w:p w:rsidR="002052EC" w:rsidRPr="0040261B" w:rsidRDefault="002052EC" w:rsidP="002052EC">
      <w:pPr>
        <w:spacing w:after="0"/>
        <w:ind w:left="851" w:hanging="851"/>
        <w:jc w:val="thaiDistribute"/>
        <w:rPr>
          <w:rFonts w:ascii="TH SarabunPSK" w:hAnsi="TH SarabunPSK" w:cs="TH SarabunPSK"/>
          <w:color w:val="000000" w:themeColor="text1"/>
          <w:sz w:val="28"/>
          <w:lang w:val="en-GB"/>
        </w:rPr>
      </w:pP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ประภัสสร โพธิ์ศรีทอง. (</w:t>
      </w: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2556</w:t>
      </w: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shd w:val="clear" w:color="auto" w:fill="FFFFFF"/>
          <w:cs/>
        </w:rPr>
        <w:t>โลกาภิวัตน์กับการจัดการวัฒนธรรม</w:t>
      </w: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. สืบค้นเมื่อ 27 มีนาคม </w:t>
      </w: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256</w:t>
      </w:r>
      <w:r w:rsidRPr="0040261B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3 จาก </w:t>
      </w:r>
      <w:hyperlink r:id="rId9" w:history="1"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https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://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oknation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.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nationtv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.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tv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/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blog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/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print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.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php?id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  <w:cs/>
          </w:rPr>
          <w:t>=</w:t>
        </w:r>
        <w:r w:rsidR="00B46EB8" w:rsidRPr="0040261B">
          <w:rPr>
            <w:rStyle w:val="Hyperlink"/>
            <w:rFonts w:ascii="TH SarabunPSK" w:hAnsi="TH SarabunPSK" w:cs="TH SarabunPSK"/>
            <w:color w:val="000000" w:themeColor="text1"/>
            <w:sz w:val="28"/>
            <w:shd w:val="clear" w:color="auto" w:fill="FFFFFF"/>
          </w:rPr>
          <w:t>887666</w:t>
        </w:r>
      </w:hyperlink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>.</w:t>
      </w:r>
    </w:p>
    <w:p w:rsidR="00B46EB8" w:rsidRPr="0040261B" w:rsidRDefault="00B46EB8" w:rsidP="002052EC">
      <w:pPr>
        <w:spacing w:after="0"/>
        <w:ind w:left="851" w:hanging="8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ปานเทพ สามลปาน. (2558).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การเปรียบเทียบผลสัมฤทธิ์ทางการเรียนวิชาภาษาไทยเรื่องการสร้างคำในภาษาไทย ของนักเรียนชั้นมัธยมศึกษาปีที่ 5 ที่สอนด้วยการจัดการเรียนรู้ แบบร่วมมือ เทคนิค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STAD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กับการจัดการเรียนรู้ แบบซิปปาโมเดล(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</w:rPr>
        <w:t>CIPPA MODEL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). 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วิทยานิพนธ์ศึกษาศาสตรมหาบัณฑิต</w:t>
      </w:r>
      <w:r w:rsidRPr="0040261B">
        <w:rPr>
          <w:rFonts w:ascii="TH SarabunPSK" w:hAnsi="TH SarabunPSK" w:cs="TH SarabunPSK"/>
          <w:color w:val="000000" w:themeColor="text1"/>
          <w:sz w:val="28"/>
        </w:rPr>
        <w:t>,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 มหาวิทยาลัยรามคำแหง.</w:t>
      </w:r>
    </w:p>
    <w:p w:rsidR="002052EC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สำนักวิชาการและมาตรฐานการศึกษา. (2551). เอกสารประกอบหลักสูตรแกนกลางการศึกษาขั้นพื้นฐาน </w:t>
      </w:r>
      <w:r w:rsidR="002052EC"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พุทธศักราช 2551.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แนวปฏิบัติการวัดและประเมินผลการเรียนรู้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 สำนักงานคณะกรรมการศึกษา</w:t>
      </w:r>
    </w:p>
    <w:p w:rsidR="005156BC" w:rsidRPr="0040261B" w:rsidRDefault="002052E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156BC" w:rsidRPr="0040261B">
        <w:rPr>
          <w:rFonts w:ascii="TH SarabunPSK" w:hAnsi="TH SarabunPSK" w:cs="TH SarabunPSK"/>
          <w:color w:val="000000" w:themeColor="text1"/>
          <w:sz w:val="28"/>
          <w:cs/>
        </w:rPr>
        <w:t>ขั้นพื้นฐาน กระทรวงศึกษาธิการ.</w:t>
      </w:r>
    </w:p>
    <w:p w:rsidR="002052EC" w:rsidRPr="0040261B" w:rsidRDefault="002052EC" w:rsidP="002052EC">
      <w:pPr>
        <w:spacing w:after="0"/>
        <w:ind w:left="851" w:hanging="851"/>
        <w:rPr>
          <w:rFonts w:ascii="TH SarabunPSK" w:hAnsi="TH SarabunPSK" w:cs="TH SarabunPSK"/>
          <w:color w:val="000000" w:themeColor="text1"/>
          <w:sz w:val="28"/>
          <w:lang w:val="en-GB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โสภิตา เสนาะจิต. (2560).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  <w:lang w:val="en-GB"/>
        </w:rPr>
        <w:t>การพัฒนาเทคนิคการประเมินการคิดวิเคราะห์ทางวิทยาศาสตร์ของผู้เรียนด้วยการสร้างโมเดลภาวะสันนิษฐานทางทฤษฎีและการวัดแบบราสช์</w:t>
      </w: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>. วิทยานิพนธ์ปริญญาดุษฎีบัณฑิต สาขาวิชาการวิจัยและพัฒนาทางการศึกษา มหาวิทยาลัยราชภัฏพิบูลสงคราม.</w:t>
      </w:r>
    </w:p>
    <w:p w:rsidR="008E3FF1" w:rsidRPr="0040261B" w:rsidRDefault="008E3FF1" w:rsidP="002052EC">
      <w:pPr>
        <w:spacing w:after="0"/>
        <w:ind w:left="851" w:hanging="851"/>
        <w:rPr>
          <w:rFonts w:ascii="TH SarabunPSK" w:hAnsi="TH SarabunPSK" w:cs="TH SarabunPSK"/>
          <w:color w:val="000000" w:themeColor="text1"/>
          <w:sz w:val="28"/>
          <w:lang w:val="en-GB"/>
        </w:rPr>
      </w:pP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สุธีธิดา บรรณารักษ์. (2555).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  <w:lang w:val="en-GB"/>
        </w:rPr>
        <w:t xml:space="preserve">การเปรียบเทียบผลสัมฤทธิ์ทางการเรียน การคิดสังเคราะห์ และเจตคติต่อวิชาภาษาไทย เรื่อง อลังการภาพพจน์บทพากย์เอราวัณ ของนักเรียน ชั้นมัธยมศึกษาปีที่ 3 ที่จัดการเรียนรู้แบบ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lang w:val="en-GB"/>
        </w:rPr>
        <w:t xml:space="preserve">CIPPA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cs/>
          <w:lang w:val="en-GB"/>
        </w:rPr>
        <w:t xml:space="preserve">กับการจัดการเรียนรู้ แบบ </w:t>
      </w:r>
      <w:r w:rsidRPr="0040261B">
        <w:rPr>
          <w:rFonts w:ascii="TH SarabunPSK" w:hAnsi="TH SarabunPSK" w:cs="TH SarabunPSK"/>
          <w:b/>
          <w:bCs/>
          <w:color w:val="000000" w:themeColor="text1"/>
          <w:sz w:val="28"/>
          <w:lang w:val="en-GB"/>
        </w:rPr>
        <w:t>KWL PLUS</w:t>
      </w:r>
      <w:r w:rsidRPr="0040261B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. </w:t>
      </w: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วิทยานิพนธ์การศึกษามหาบัณฑิต การวิจัยการศึกษา</w:t>
      </w:r>
      <w:r w:rsidRPr="0040261B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, </w:t>
      </w:r>
      <w:r w:rsidRPr="0040261B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มหาวิทยาลัยมหาสารคาม.</w:t>
      </w:r>
    </w:p>
    <w:p w:rsidR="002052EC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0261B">
        <w:rPr>
          <w:rFonts w:ascii="TH SarabunPSK" w:hAnsi="TH SarabunPSK" w:cs="TH SarabunPSK"/>
          <w:color w:val="000000" w:themeColor="text1"/>
          <w:sz w:val="28"/>
        </w:rPr>
        <w:t>Bloom, B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40261B">
        <w:rPr>
          <w:rFonts w:ascii="TH SarabunPSK" w:hAnsi="TH SarabunPSK" w:cs="TH SarabunPSK"/>
          <w:color w:val="000000" w:themeColor="text1"/>
          <w:sz w:val="28"/>
        </w:rPr>
        <w:t>S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. (1956). </w:t>
      </w:r>
      <w:r w:rsidRPr="0040261B">
        <w:rPr>
          <w:rFonts w:ascii="TH SarabunPSK" w:hAnsi="TH SarabunPSK" w:cs="TH SarabunPSK"/>
          <w:color w:val="000000" w:themeColor="text1"/>
          <w:sz w:val="28"/>
        </w:rPr>
        <w:t>Taxonomy of educational objectives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40261B">
        <w:rPr>
          <w:rFonts w:ascii="TH SarabunPSK" w:hAnsi="TH SarabunPSK" w:cs="TH SarabunPSK"/>
          <w:color w:val="000000" w:themeColor="text1"/>
          <w:sz w:val="28"/>
        </w:rPr>
        <w:t>Handbook II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Pr="0040261B">
        <w:rPr>
          <w:rFonts w:ascii="TH SarabunPSK" w:hAnsi="TH SarabunPSK" w:cs="TH SarabunPSK"/>
          <w:color w:val="000000" w:themeColor="text1"/>
          <w:sz w:val="28"/>
        </w:rPr>
        <w:t>Affective domain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40261B">
        <w:rPr>
          <w:rFonts w:ascii="TH SarabunPSK" w:hAnsi="TH SarabunPSK" w:cs="TH SarabunPSK"/>
          <w:color w:val="000000" w:themeColor="text1"/>
          <w:sz w:val="28"/>
        </w:rPr>
        <w:t xml:space="preserve">New </w:t>
      </w:r>
      <w:r w:rsidR="002052EC" w:rsidRPr="0040261B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40261B">
        <w:rPr>
          <w:rFonts w:ascii="TH SarabunPSK" w:hAnsi="TH SarabunPSK" w:cs="TH SarabunPSK"/>
          <w:color w:val="000000" w:themeColor="text1"/>
          <w:sz w:val="28"/>
        </w:rPr>
        <w:t>York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proofErr w:type="spellStart"/>
      <w:r w:rsidRPr="0040261B">
        <w:rPr>
          <w:rFonts w:ascii="TH SarabunPSK" w:hAnsi="TH SarabunPSK" w:cs="TH SarabunPSK"/>
          <w:color w:val="000000" w:themeColor="text1"/>
          <w:sz w:val="28"/>
        </w:rPr>
        <w:t>Mckay</w:t>
      </w:r>
      <w:proofErr w:type="spellEnd"/>
      <w:r w:rsidRPr="0040261B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981D3B" w:rsidRPr="0040261B" w:rsidRDefault="005156BC" w:rsidP="002052EC">
      <w:pPr>
        <w:tabs>
          <w:tab w:val="left" w:pos="864"/>
          <w:tab w:val="left" w:pos="1224"/>
          <w:tab w:val="left" w:pos="1584"/>
          <w:tab w:val="left" w:pos="1944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40261B">
        <w:rPr>
          <w:rFonts w:ascii="TH SarabunPSK" w:hAnsi="TH SarabunPSK" w:cs="TH SarabunPSK"/>
          <w:color w:val="000000" w:themeColor="text1"/>
          <w:sz w:val="28"/>
        </w:rPr>
        <w:t>Bloom, B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40261B">
        <w:rPr>
          <w:rFonts w:ascii="TH SarabunPSK" w:hAnsi="TH SarabunPSK" w:cs="TH SarabunPSK"/>
          <w:color w:val="000000" w:themeColor="text1"/>
          <w:sz w:val="28"/>
        </w:rPr>
        <w:t>S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. (1976). </w:t>
      </w:r>
      <w:r w:rsidRPr="0040261B">
        <w:rPr>
          <w:rFonts w:ascii="TH SarabunPSK" w:hAnsi="TH SarabunPSK" w:cs="TH SarabunPSK"/>
          <w:color w:val="000000" w:themeColor="text1"/>
          <w:sz w:val="28"/>
        </w:rPr>
        <w:t>Human Characteristics and School Learning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40261B">
        <w:rPr>
          <w:rFonts w:ascii="TH SarabunPSK" w:hAnsi="TH SarabunPSK" w:cs="TH SarabunPSK"/>
          <w:color w:val="000000" w:themeColor="text1"/>
          <w:sz w:val="28"/>
        </w:rPr>
        <w:t xml:space="preserve">New </w:t>
      </w:r>
      <w:proofErr w:type="gramStart"/>
      <w:r w:rsidRPr="0040261B">
        <w:rPr>
          <w:rFonts w:ascii="TH SarabunPSK" w:hAnsi="TH SarabunPSK" w:cs="TH SarabunPSK"/>
          <w:color w:val="000000" w:themeColor="text1"/>
          <w:sz w:val="28"/>
        </w:rPr>
        <w:t xml:space="preserve">York 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:</w:t>
      </w:r>
      <w:proofErr w:type="gramEnd"/>
      <w:r w:rsidRPr="0040261B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40261B">
        <w:rPr>
          <w:rFonts w:ascii="TH SarabunPSK" w:hAnsi="TH SarabunPSK" w:cs="TH SarabunPSK"/>
          <w:color w:val="000000" w:themeColor="text1"/>
          <w:sz w:val="28"/>
        </w:rPr>
        <w:t>McGraw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40261B">
        <w:rPr>
          <w:rFonts w:ascii="TH SarabunPSK" w:hAnsi="TH SarabunPSK" w:cs="TH SarabunPSK"/>
          <w:color w:val="000000" w:themeColor="text1"/>
          <w:sz w:val="28"/>
        </w:rPr>
        <w:t>Hill</w:t>
      </w:r>
      <w:r w:rsidRPr="0040261B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sectPr w:rsidR="00981D3B" w:rsidRPr="0040261B" w:rsidSect="004964D8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14" w:rsidRDefault="00A14614" w:rsidP="004964D8">
      <w:pPr>
        <w:spacing w:after="0" w:line="240" w:lineRule="auto"/>
      </w:pPr>
      <w:r>
        <w:separator/>
      </w:r>
    </w:p>
  </w:endnote>
  <w:endnote w:type="continuationSeparator" w:id="0">
    <w:p w:rsidR="00A14614" w:rsidRDefault="00A14614" w:rsidP="0049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14" w:rsidRDefault="00A14614" w:rsidP="004964D8">
      <w:pPr>
        <w:spacing w:after="0" w:line="240" w:lineRule="auto"/>
      </w:pPr>
      <w:r>
        <w:separator/>
      </w:r>
    </w:p>
  </w:footnote>
  <w:footnote w:type="continuationSeparator" w:id="0">
    <w:p w:rsidR="00A14614" w:rsidRDefault="00A14614" w:rsidP="0049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0E" w:rsidRPr="00BA4C0E" w:rsidRDefault="00BA4C0E">
    <w:pPr>
      <w:pStyle w:val="Header"/>
      <w:pBdr>
        <w:bottom w:val="single" w:sz="6" w:space="1" w:color="auto"/>
      </w:pBdr>
      <w:rPr>
        <w:sz w:val="24"/>
        <w:szCs w:val="32"/>
      </w:rPr>
    </w:pPr>
  </w:p>
  <w:p w:rsidR="00BA4C0E" w:rsidRPr="00FE68CC" w:rsidRDefault="00BA4C0E" w:rsidP="00BA4C0E">
    <w:pPr>
      <w:pStyle w:val="Header"/>
      <w:pBdr>
        <w:bottom w:val="single" w:sz="6" w:space="1" w:color="auto"/>
      </w:pBdr>
      <w:jc w:val="center"/>
      <w:rPr>
        <w:rFonts w:ascii="TH SarabunPSK" w:hAnsi="TH SarabunPSK" w:cs="TH SarabunPSK"/>
      </w:rPr>
    </w:pPr>
    <w:r w:rsidRPr="00FE68CC">
      <w:rPr>
        <w:rFonts w:ascii="TH SarabunPSK" w:hAnsi="TH SarabunPSK" w:cs="TH SarabunPSK" w:hint="cs"/>
        <w:cs/>
      </w:rPr>
      <w:t>การประชุมวิชาการระดับชาติ</w:t>
    </w:r>
  </w:p>
  <w:p w:rsidR="00BA4C0E" w:rsidRPr="00FE68CC" w:rsidRDefault="00BA4C0E" w:rsidP="00BA4C0E">
    <w:pPr>
      <w:pStyle w:val="Header"/>
      <w:pBdr>
        <w:bottom w:val="single" w:sz="6" w:space="1" w:color="auto"/>
      </w:pBdr>
      <w:jc w:val="right"/>
      <w:rPr>
        <w:rFonts w:ascii="TH SarabunPSK" w:hAnsi="TH SarabunPSK" w:cs="TH SarabunPSK"/>
        <w:cs/>
      </w:rPr>
    </w:pPr>
    <w:r w:rsidRPr="00FE68CC">
      <w:rPr>
        <w:rFonts w:ascii="TH SarabunPSK" w:hAnsi="TH SarabunPSK" w:cs="TH SarabunPSK" w:hint="cs"/>
        <w:cs/>
      </w:rPr>
      <w:t>การศึกษาเพื่อพัฒนาการเรียนรู้ ประจำปี  2563</w:t>
    </w:r>
  </w:p>
  <w:p w:rsidR="00BA4C0E" w:rsidRDefault="00BA4C0E">
    <w:pPr>
      <w:pStyle w:val="Header"/>
    </w:pPr>
  </w:p>
  <w:p w:rsidR="00BA4C0E" w:rsidRDefault="00BA4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12D"/>
    <w:multiLevelType w:val="hybridMultilevel"/>
    <w:tmpl w:val="1BA26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D8"/>
    <w:rsid w:val="00017C7A"/>
    <w:rsid w:val="00021E98"/>
    <w:rsid w:val="000422FC"/>
    <w:rsid w:val="00050B52"/>
    <w:rsid w:val="000A771B"/>
    <w:rsid w:val="000B737E"/>
    <w:rsid w:val="00102351"/>
    <w:rsid w:val="00111FC5"/>
    <w:rsid w:val="00150275"/>
    <w:rsid w:val="001535C1"/>
    <w:rsid w:val="00174017"/>
    <w:rsid w:val="00196D1F"/>
    <w:rsid w:val="001A55F0"/>
    <w:rsid w:val="001C029E"/>
    <w:rsid w:val="001D7665"/>
    <w:rsid w:val="00203497"/>
    <w:rsid w:val="002052EC"/>
    <w:rsid w:val="00247459"/>
    <w:rsid w:val="00257F29"/>
    <w:rsid w:val="002A5E7B"/>
    <w:rsid w:val="002D0A73"/>
    <w:rsid w:val="00346EAD"/>
    <w:rsid w:val="003656B2"/>
    <w:rsid w:val="00393A8F"/>
    <w:rsid w:val="00395BEA"/>
    <w:rsid w:val="003D7B0D"/>
    <w:rsid w:val="003D7CF0"/>
    <w:rsid w:val="003E1DAC"/>
    <w:rsid w:val="0040261B"/>
    <w:rsid w:val="004964D8"/>
    <w:rsid w:val="0051543E"/>
    <w:rsid w:val="005156BC"/>
    <w:rsid w:val="0053045C"/>
    <w:rsid w:val="00536BB5"/>
    <w:rsid w:val="005B34BD"/>
    <w:rsid w:val="005B3DEE"/>
    <w:rsid w:val="005B6D95"/>
    <w:rsid w:val="005F1202"/>
    <w:rsid w:val="00672D90"/>
    <w:rsid w:val="00684BC3"/>
    <w:rsid w:val="006A24E1"/>
    <w:rsid w:val="007028A2"/>
    <w:rsid w:val="00735DEB"/>
    <w:rsid w:val="00785529"/>
    <w:rsid w:val="007A6B3A"/>
    <w:rsid w:val="007B1E8D"/>
    <w:rsid w:val="007C406D"/>
    <w:rsid w:val="007C70B2"/>
    <w:rsid w:val="00801943"/>
    <w:rsid w:val="008160C5"/>
    <w:rsid w:val="00854FE4"/>
    <w:rsid w:val="00863DD9"/>
    <w:rsid w:val="00866C82"/>
    <w:rsid w:val="00874A3F"/>
    <w:rsid w:val="008D2FF3"/>
    <w:rsid w:val="008E3FF1"/>
    <w:rsid w:val="00912B80"/>
    <w:rsid w:val="0091542B"/>
    <w:rsid w:val="009215C0"/>
    <w:rsid w:val="0092688E"/>
    <w:rsid w:val="00933225"/>
    <w:rsid w:val="009437F5"/>
    <w:rsid w:val="00975E38"/>
    <w:rsid w:val="00981D3B"/>
    <w:rsid w:val="00986643"/>
    <w:rsid w:val="00993957"/>
    <w:rsid w:val="009F23B5"/>
    <w:rsid w:val="00A0532E"/>
    <w:rsid w:val="00A14614"/>
    <w:rsid w:val="00A46B99"/>
    <w:rsid w:val="00A929B9"/>
    <w:rsid w:val="00AD5F8E"/>
    <w:rsid w:val="00AF4AC9"/>
    <w:rsid w:val="00B46289"/>
    <w:rsid w:val="00B46EB8"/>
    <w:rsid w:val="00B524A5"/>
    <w:rsid w:val="00B66981"/>
    <w:rsid w:val="00BA4C0E"/>
    <w:rsid w:val="00BF11B6"/>
    <w:rsid w:val="00C03310"/>
    <w:rsid w:val="00C40C35"/>
    <w:rsid w:val="00C66C07"/>
    <w:rsid w:val="00C96582"/>
    <w:rsid w:val="00CA1372"/>
    <w:rsid w:val="00D257C7"/>
    <w:rsid w:val="00D57FA2"/>
    <w:rsid w:val="00D73925"/>
    <w:rsid w:val="00D91C31"/>
    <w:rsid w:val="00D93561"/>
    <w:rsid w:val="00DA0B98"/>
    <w:rsid w:val="00DC48C4"/>
    <w:rsid w:val="00DF6A35"/>
    <w:rsid w:val="00E27247"/>
    <w:rsid w:val="00E31BA8"/>
    <w:rsid w:val="00E45EC7"/>
    <w:rsid w:val="00E610EF"/>
    <w:rsid w:val="00E81184"/>
    <w:rsid w:val="00EE3E8D"/>
    <w:rsid w:val="00EF3A62"/>
    <w:rsid w:val="00F12942"/>
    <w:rsid w:val="00F40E88"/>
    <w:rsid w:val="00F62B7C"/>
    <w:rsid w:val="00F701AD"/>
    <w:rsid w:val="00F779D2"/>
    <w:rsid w:val="00F82A5D"/>
    <w:rsid w:val="00FA1400"/>
    <w:rsid w:val="00FB5B0E"/>
    <w:rsid w:val="00FC78F4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0305"/>
  <w15:chartTrackingRefBased/>
  <w15:docId w15:val="{977BF849-F719-4903-BFB9-F97C45D5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D8"/>
  </w:style>
  <w:style w:type="paragraph" w:styleId="Footer">
    <w:name w:val="footer"/>
    <w:basedOn w:val="Normal"/>
    <w:link w:val="FooterChar"/>
    <w:uiPriority w:val="99"/>
    <w:unhideWhenUsed/>
    <w:rsid w:val="0049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D8"/>
  </w:style>
  <w:style w:type="paragraph" w:styleId="NoSpacing">
    <w:name w:val="No Spacing"/>
    <w:link w:val="NoSpacingChar"/>
    <w:uiPriority w:val="1"/>
    <w:qFormat/>
    <w:rsid w:val="00C66C07"/>
    <w:pPr>
      <w:spacing w:after="0" w:line="240" w:lineRule="auto"/>
    </w:pPr>
  </w:style>
  <w:style w:type="table" w:styleId="TableGrid">
    <w:name w:val="Table Grid"/>
    <w:basedOn w:val="TableNormal"/>
    <w:uiPriority w:val="39"/>
    <w:rsid w:val="00B6698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8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1543E"/>
  </w:style>
  <w:style w:type="character" w:styleId="Hyperlink">
    <w:name w:val="Hyperlink"/>
    <w:basedOn w:val="DefaultParagraphFont"/>
    <w:uiPriority w:val="99"/>
    <w:unhideWhenUsed/>
    <w:rsid w:val="003D7B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5B0E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3045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nation.nationtv.tv/blog/print.php?id=887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45AF-E15A-4F49-B204-A5D6CBAF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2020-05-21T09:09:00Z</dcterms:created>
  <dcterms:modified xsi:type="dcterms:W3CDTF">2020-05-21T09:09:00Z</dcterms:modified>
</cp:coreProperties>
</file>